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widowControl w:val="false"/>
        <w:pBdr/>
        <w:spacing w:after="20" w:before="20"/>
        <w:ind/>
        <w:jc w:val="center"/>
        <w:rPr>
          <w:b/>
          <w:bCs/>
        </w:rPr>
      </w:pPr>
      <w:r>
        <w:rPr>
          <w:b/>
          <w:bCs/>
        </w:rPr>
      </w:r>
      <w:r>
        <w:rPr>
          <w:b/>
          <w:bCs/>
        </w:rPr>
      </w:r>
      <w:r>
        <w:rPr>
          <w:b/>
          <w:bCs/>
        </w:rPr>
      </w:r>
    </w:p>
    <w:p>
      <w:pPr>
        <w:widowControl w:val="false"/>
        <w:pBdr/>
        <w:spacing w:after="20" w:before="20"/>
        <w:ind/>
        <w:jc w:val="center"/>
        <w:rPr>
          <w:b/>
          <w:bCs/>
        </w:rPr>
      </w:pPr>
      <w:r>
        <w:rPr>
          <w:b/>
          <w:sz w:val="48"/>
          <w:szCs w:val="48"/>
        </w:rPr>
        <w:t xml:space="preserve">FIŞA DISCIPLINEI </w:t>
      </w:r>
      <w:r>
        <w:rPr>
          <w:b/>
          <w:bCs/>
        </w:rPr>
      </w:r>
      <w:r>
        <w:rPr>
          <w:b/>
          <w:bCs/>
        </w:rPr>
      </w:r>
    </w:p>
    <w:p>
      <w:pPr>
        <w:widowControl w:val="false"/>
        <w:pBdr/>
        <w:spacing w:after="20" w:before="20"/>
        <w:ind/>
        <w:jc w:val="center"/>
        <w:rPr>
          <w:b/>
          <w:sz w:val="36"/>
          <w:szCs w:val="36"/>
        </w:rPr>
      </w:pPr>
      <w:r>
        <w:rPr>
          <w:b/>
          <w:sz w:val="36"/>
          <w:szCs w:val="36"/>
        </w:rPr>
        <w:t xml:space="preserve">anul universitar 202</w:t>
      </w:r>
      <w:r>
        <w:rPr>
          <w:b/>
          <w:sz w:val="36"/>
          <w:szCs w:val="36"/>
          <w:lang w:val="en-US"/>
        </w:rPr>
        <w:t xml:space="preserve">6</w:t>
      </w:r>
      <w:r>
        <w:rPr>
          <w:b/>
          <w:sz w:val="36"/>
          <w:szCs w:val="36"/>
        </w:rPr>
        <w:t xml:space="preserve"> – 202</w:t>
      </w:r>
      <w:r>
        <w:rPr>
          <w:b/>
          <w:sz w:val="36"/>
          <w:szCs w:val="36"/>
          <w:lang w:val="en-US"/>
        </w:rPr>
        <w:t xml:space="preserve">7</w:t>
      </w:r>
      <w:r>
        <w:rPr>
          <w:b/>
          <w:sz w:val="36"/>
          <w:szCs w:val="36"/>
        </w:rPr>
      </w:r>
      <w:r>
        <w:rPr>
          <w:b/>
          <w:sz w:val="36"/>
          <w:szCs w:val="36"/>
        </w:rPr>
      </w:r>
    </w:p>
    <w:p>
      <w:pPr>
        <w:widowControl w:val="false"/>
        <w:pBdr/>
        <w:tabs>
          <w:tab w:val="left" w:leader="none" w:pos="3910"/>
          <w:tab w:val="center" w:leader="none" w:pos="4873"/>
        </w:tabs>
        <w:spacing w:after="20" w:before="20"/>
        <w:ind/>
        <w:rPr>
          <w:b/>
          <w:lang w:val="en-US"/>
        </w:rPr>
      </w:pPr>
      <w:r>
        <w:rPr>
          <w:b/>
          <w:lang w:val="en-US"/>
        </w:rPr>
        <w:tab/>
      </w:r>
      <w:r>
        <w:rPr>
          <w:b/>
          <w:lang w:val="en-US"/>
        </w:rPr>
        <w:tab/>
      </w:r>
      <w:r>
        <w:rPr>
          <w:b/>
          <w:lang w:val="en-US"/>
        </w:rPr>
      </w:r>
      <w:r>
        <w:rPr>
          <w:b/>
          <w:lang w:val="en-US"/>
        </w:rPr>
      </w:r>
    </w:p>
    <w:p>
      <w:pPr>
        <w:widowControl w:val="false"/>
        <w:pBdr/>
        <w:spacing w:after="20" w:before="20"/>
        <w:ind/>
        <w:jc w:val="center"/>
        <w:rPr>
          <w:b/>
          <w:sz w:val="16"/>
          <w:szCs w:val="16"/>
        </w:rPr>
      </w:pPr>
      <w:r>
        <w:rPr>
          <w:b/>
          <w:sz w:val="16"/>
          <w:szCs w:val="16"/>
        </w:rPr>
      </w:r>
      <w:r>
        <w:rPr>
          <w:b/>
          <w:sz w:val="16"/>
          <w:szCs w:val="16"/>
        </w:rPr>
      </w:r>
      <w:r>
        <w:rPr>
          <w:b/>
          <w:sz w:val="16"/>
          <w:szCs w:val="16"/>
        </w:rPr>
      </w:r>
    </w:p>
    <w:p>
      <w:pPr>
        <w:widowControl w:val="false"/>
        <w:numPr>
          <w:ilvl w:val="0"/>
          <w:numId w:val="10"/>
        </w:numPr>
        <w:pBdr/>
        <w:tabs>
          <w:tab w:val="clear" w:leader="none" w:pos="360"/>
          <w:tab w:val="center" w:leader="none" w:pos="4873"/>
        </w:tabs>
        <w:spacing w:after="20" w:before="20"/>
        <w:ind/>
        <w:rPr>
          <w:b/>
        </w:rPr>
      </w:pPr>
      <w:r>
        <w:rPr>
          <w:b/>
        </w:rPr>
        <w:t xml:space="preserve">Date despre program</w:t>
      </w:r>
      <w:r>
        <w:rPr>
          <w:b/>
        </w:rPr>
        <w:tab/>
      </w:r>
      <w:r>
        <w:rPr>
          <w:b/>
        </w:rPr>
      </w:r>
      <w:r>
        <w:rPr>
          <w:b/>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4046"/>
        <w:gridCol w:w="5866"/>
      </w:tblGrid>
      <w:tr>
        <w:trPr/>
        <w:tc>
          <w:tcPr>
            <w:shd w:val="clear" w:color="ffffff" w:fill="ffffff"/>
            <w:tcBorders/>
            <w:tcW w:w="2041" w:type="pct"/>
            <w:textDirection w:val="lrTb"/>
            <w:noWrap w:val="false"/>
          </w:tcPr>
          <w:p>
            <w:pPr>
              <w:widowControl w:val="false"/>
              <w:pBdr/>
              <w:spacing w:after="20" w:before="20"/>
              <w:ind/>
              <w:rPr/>
            </w:pPr>
            <w:r>
              <w:t xml:space="preserve">1.1. </w:t>
            </w:r>
            <w:r>
              <w:t xml:space="preserve">Instituţia</w:t>
            </w:r>
            <w:r>
              <w:t xml:space="preserve"> de </w:t>
            </w:r>
            <w:r>
              <w:t xml:space="preserve">învăţămînt</w:t>
            </w:r>
            <w:r/>
          </w:p>
        </w:tc>
        <w:tc>
          <w:tcPr>
            <w:shd w:val="clear" w:color="ffffff" w:fill="ffffff"/>
            <w:tcBorders/>
            <w:tcW w:w="2959" w:type="pct"/>
            <w:textDirection w:val="lrTb"/>
            <w:noWrap w:val="false"/>
          </w:tcPr>
          <w:p>
            <w:pPr>
              <w:widowControl w:val="false"/>
              <w:pBdr/>
              <w:spacing w:after="20" w:before="20"/>
              <w:ind/>
              <w:rPr>
                <w:b/>
                <w:lang w:val="en-US"/>
              </w:rPr>
            </w:pPr>
            <w:r>
              <w:rPr>
                <w:b/>
                <w:lang w:val="en-US"/>
              </w:rPr>
              <w:t xml:space="preserve">INSTITUTUL TEOLOGIC BAPTIST</w:t>
            </w:r>
            <w:r>
              <w:rPr>
                <w:b/>
                <w:lang w:val="en-US"/>
              </w:rPr>
              <w:t xml:space="preserve"> DIN</w:t>
            </w:r>
            <w:r>
              <w:rPr>
                <w:b/>
                <w:lang w:val="en-US"/>
              </w:rPr>
              <w:t xml:space="preserve"> BUCUREŞTI</w:t>
            </w:r>
            <w:r>
              <w:rPr>
                <w:b/>
                <w:lang w:val="en-US"/>
              </w:rPr>
            </w:r>
            <w:r>
              <w:rPr>
                <w:b/>
                <w:lang w:val="en-US"/>
              </w:rPr>
            </w:r>
          </w:p>
        </w:tc>
      </w:tr>
      <w:tr>
        <w:trPr/>
        <w:tc>
          <w:tcPr>
            <w:shd w:val="clear" w:color="ffffff" w:fill="ffffff"/>
            <w:tcBorders/>
            <w:tcW w:w="2041" w:type="pct"/>
            <w:textDirection w:val="lrTb"/>
            <w:noWrap w:val="false"/>
          </w:tcPr>
          <w:p>
            <w:pPr>
              <w:widowControl w:val="false"/>
              <w:pBdr/>
              <w:spacing w:after="20" w:before="20"/>
              <w:ind/>
              <w:rPr/>
            </w:pPr>
            <w:r>
              <w:t xml:space="preserve">1.2. Facultatea </w:t>
            </w:r>
            <w:r/>
          </w:p>
        </w:tc>
        <w:tc>
          <w:tcPr>
            <w:shd w:val="clear" w:color="ffffff" w:fill="ffffff"/>
            <w:tcBorders/>
            <w:tcW w:w="2959" w:type="pct"/>
            <w:textDirection w:val="lrTb"/>
            <w:noWrap w:val="false"/>
          </w:tcPr>
          <w:p>
            <w:pPr>
              <w:widowControl w:val="false"/>
              <w:pBdr/>
              <w:spacing w:after="20" w:before="20"/>
              <w:ind/>
              <w:rPr>
                <w:b/>
                <w:lang w:val="en-US"/>
              </w:rPr>
            </w:pPr>
            <w:r>
              <w:rPr>
                <w:b/>
                <w:lang w:val="en-US"/>
              </w:rPr>
              <w:t xml:space="preserve">Facultatea</w:t>
            </w:r>
            <w:r>
              <w:rPr>
                <w:b/>
                <w:lang w:val="en-US"/>
              </w:rPr>
              <w:t xml:space="preserve"> </w:t>
            </w:r>
            <w:r>
              <w:rPr>
                <w:b/>
              </w:rPr>
              <w:t xml:space="preserve">de Teolog</w:t>
            </w:r>
            <w:r>
              <w:rPr>
                <w:b/>
                <w:lang w:val="en-US"/>
              </w:rPr>
              <w:t xml:space="preserve">ie</w:t>
            </w:r>
            <w:r>
              <w:rPr>
                <w:b/>
                <w:lang w:val="en-US"/>
              </w:rPr>
              <w:t xml:space="preserve"> </w:t>
            </w:r>
            <w:r>
              <w:rPr>
                <w:b/>
                <w:lang w:val="en-US"/>
              </w:rPr>
              <w:t xml:space="preserve">Pastorală</w:t>
            </w:r>
            <w:r>
              <w:rPr>
                <w:b/>
                <w:lang w:val="en-US"/>
              </w:rPr>
            </w:r>
            <w:r>
              <w:rPr>
                <w:b/>
                <w:lang w:val="en-US"/>
              </w:rPr>
            </w:r>
          </w:p>
        </w:tc>
      </w:tr>
      <w:tr>
        <w:trPr/>
        <w:tc>
          <w:tcPr>
            <w:shd w:val="clear" w:color="ffffff" w:fill="ffffff"/>
            <w:tcBorders/>
            <w:tcW w:w="2041" w:type="pct"/>
            <w:textDirection w:val="lrTb"/>
            <w:noWrap w:val="false"/>
          </w:tcPr>
          <w:p>
            <w:pPr>
              <w:widowControl w:val="false"/>
              <w:pBdr/>
              <w:spacing w:after="20" w:before="20"/>
              <w:ind/>
              <w:rPr/>
            </w:pPr>
            <w:r>
              <w:t xml:space="preserve">1.3. Departamentul </w:t>
            </w:r>
            <w:r/>
          </w:p>
        </w:tc>
        <w:tc>
          <w:tcPr>
            <w:shd w:val="clear" w:color="ffffff" w:fill="ffffff"/>
            <w:tcBorders/>
            <w:tcW w:w="2959" w:type="pct"/>
            <w:textDirection w:val="lrTb"/>
            <w:noWrap w:val="false"/>
          </w:tcPr>
          <w:p>
            <w:pPr>
              <w:widowControl w:val="false"/>
              <w:pBdr/>
              <w:spacing w:after="20" w:before="20"/>
              <w:ind/>
              <w:rPr>
                <w:b/>
                <w:lang w:val="en-US"/>
              </w:rPr>
            </w:pPr>
            <w:r>
              <w:rPr>
                <w:b/>
              </w:rPr>
              <w:t xml:space="preserve">Teologie </w:t>
            </w:r>
            <w:r>
              <w:rPr>
                <w:b/>
                <w:lang w:val="en-US"/>
              </w:rPr>
              <w:t xml:space="preserve">Baptistă</w:t>
            </w:r>
            <w:r>
              <w:rPr>
                <w:b/>
                <w:lang w:val="en-US"/>
              </w:rPr>
              <w:t xml:space="preserve"> </w:t>
            </w:r>
            <w:r>
              <w:rPr>
                <w:b/>
                <w:lang w:val="en-US"/>
              </w:rPr>
              <w:t xml:space="preserve">Pastorală</w:t>
            </w:r>
            <w:r>
              <w:rPr>
                <w:b/>
                <w:lang w:val="en-US"/>
              </w:rPr>
            </w:r>
            <w:r>
              <w:rPr>
                <w:b/>
                <w:lang w:val="en-US"/>
              </w:rPr>
            </w:r>
          </w:p>
        </w:tc>
      </w:tr>
      <w:tr>
        <w:trPr/>
        <w:tc>
          <w:tcPr>
            <w:shd w:val="clear" w:color="ffffff" w:fill="ffffff"/>
            <w:tcBorders/>
            <w:tcW w:w="2041" w:type="pct"/>
            <w:textDirection w:val="lrTb"/>
            <w:noWrap w:val="false"/>
          </w:tcPr>
          <w:p>
            <w:pPr>
              <w:widowControl w:val="false"/>
              <w:pBdr/>
              <w:spacing w:after="20" w:before="20"/>
              <w:ind/>
              <w:rPr/>
            </w:pPr>
            <w:r>
              <w:t xml:space="preserve">1.4. Domeniul de studii</w:t>
            </w:r>
            <w:r/>
          </w:p>
        </w:tc>
        <w:tc>
          <w:tcPr>
            <w:shd w:val="clear" w:color="ffffff" w:fill="ffffff"/>
            <w:tcBorders/>
            <w:tcW w:w="2959" w:type="pct"/>
            <w:textDirection w:val="lrTb"/>
            <w:noWrap w:val="false"/>
          </w:tcPr>
          <w:p>
            <w:pPr>
              <w:widowControl w:val="false"/>
              <w:pBdr/>
              <w:spacing w:after="20" w:before="20"/>
              <w:ind/>
              <w:rPr>
                <w:b/>
                <w:lang w:val="en-US"/>
              </w:rPr>
            </w:pPr>
            <w:r>
              <w:rPr>
                <w:b/>
              </w:rPr>
              <w:t xml:space="preserve">Teologie </w:t>
            </w:r>
            <w:r>
              <w:rPr>
                <w:b/>
                <w:lang w:val="en-US"/>
              </w:rPr>
              <w:t xml:space="preserve">Baptistă</w:t>
            </w:r>
            <w:r>
              <w:rPr>
                <w:b/>
                <w:lang w:val="en-US"/>
              </w:rPr>
              <w:t xml:space="preserve"> </w:t>
            </w:r>
            <w:r>
              <w:rPr>
                <w:b/>
                <w:lang w:val="en-US"/>
              </w:rPr>
              <w:t xml:space="preserve">pastorală</w:t>
            </w:r>
            <w:r>
              <w:rPr>
                <w:b/>
                <w:lang w:val="en-US"/>
              </w:rPr>
            </w:r>
            <w:r>
              <w:rPr>
                <w:b/>
                <w:lang w:val="en-US"/>
              </w:rPr>
            </w:r>
          </w:p>
        </w:tc>
      </w:tr>
      <w:tr>
        <w:trPr/>
        <w:tc>
          <w:tcPr>
            <w:shd w:val="clear" w:color="ffffff" w:fill="ffffff"/>
            <w:tcBorders/>
            <w:tcW w:w="2041" w:type="pct"/>
            <w:textDirection w:val="lrTb"/>
            <w:noWrap w:val="false"/>
          </w:tcPr>
          <w:p>
            <w:pPr>
              <w:widowControl w:val="false"/>
              <w:pBdr/>
              <w:spacing w:after="20" w:before="20"/>
              <w:ind/>
              <w:rPr/>
            </w:pPr>
            <w:r>
              <w:t xml:space="preserve">1.5. Ciclul de studii</w:t>
            </w:r>
            <w:r/>
          </w:p>
        </w:tc>
        <w:tc>
          <w:tcPr>
            <w:shd w:val="clear" w:color="ffffff" w:fill="ffffff"/>
            <w:tcBorders/>
            <w:tcW w:w="2959" w:type="pct"/>
            <w:textDirection w:val="lrTb"/>
            <w:noWrap w:val="false"/>
          </w:tcPr>
          <w:p>
            <w:pPr>
              <w:pBdr/>
              <w:spacing/>
              <w:ind/>
              <w:rPr>
                <w:b/>
                <w:i/>
                <w:lang w:val="en-US"/>
              </w:rPr>
            </w:pPr>
            <w:r>
              <w:rPr>
                <w:b/>
              </w:rPr>
              <w:t xml:space="preserve">Masterat</w:t>
            </w:r>
            <w:r>
              <w:rPr>
                <w:b/>
                <w:lang w:val="en-US"/>
              </w:rPr>
              <w:t xml:space="preserve"> </w:t>
            </w:r>
            <w:r>
              <w:rPr>
                <w:rFonts w:eastAsia="Albertus Medium"/>
                <w:b/>
                <w:color w:val="0a0a0a"/>
                <w:sz w:val="22"/>
                <w:szCs w:val="22"/>
                <w:lang w:val="en-US" w:eastAsia="zh-CN" w:bidi="ar"/>
              </w:rPr>
              <w:t xml:space="preserve">(ISCED level 7 – EQF level 7)</w:t>
            </w:r>
            <w:r>
              <w:rPr>
                <w:b/>
                <w:i/>
                <w:lang w:val="en-US"/>
              </w:rPr>
            </w:r>
            <w:r>
              <w:rPr>
                <w:b/>
                <w:i/>
                <w:lang w:val="en-US"/>
              </w:rPr>
            </w:r>
          </w:p>
        </w:tc>
      </w:tr>
      <w:tr>
        <w:trPr/>
        <w:tc>
          <w:tcPr>
            <w:shd w:val="clear" w:color="ffffff" w:fill="ffffff"/>
            <w:tcBorders/>
            <w:tcW w:w="2041" w:type="pct"/>
            <w:textDirection w:val="lrTb"/>
            <w:noWrap w:val="false"/>
          </w:tcPr>
          <w:p>
            <w:pPr>
              <w:widowControl w:val="false"/>
              <w:pBdr/>
              <w:spacing w:after="20" w:before="20"/>
              <w:ind/>
              <w:rPr/>
            </w:pPr>
            <w:r>
              <w:t xml:space="preserve">1.6. Programul de studii</w:t>
            </w:r>
            <w:r/>
          </w:p>
        </w:tc>
        <w:tc>
          <w:tcPr>
            <w:shd w:val="clear" w:color="ffffff" w:fill="d9d9d9"/>
            <w:tcBorders/>
            <w:tcW w:w="2959" w:type="pct"/>
            <w:textDirection w:val="lrTb"/>
            <w:noWrap w:val="false"/>
          </w:tcPr>
          <w:p>
            <w:pPr>
              <w:pBdr/>
              <w:spacing/>
              <w:ind/>
              <w:rPr>
                <w:b/>
                <w:lang w:val="en-US"/>
              </w:rPr>
            </w:pPr>
            <w:r>
              <w:rPr>
                <w:b/>
                <w:sz w:val="22"/>
                <w:szCs w:val="22"/>
                <w:lang w:val="en-US"/>
              </w:rPr>
              <w:t xml:space="preserve">Masterat</w:t>
            </w:r>
            <w:r>
              <w:rPr>
                <w:b/>
                <w:sz w:val="22"/>
                <w:szCs w:val="22"/>
                <w:lang w:val="en-US"/>
              </w:rPr>
              <w:t xml:space="preserve"> </w:t>
            </w:r>
            <w:r>
              <w:rPr>
                <w:rFonts w:eastAsia="Arial-Italic-Bold"/>
                <w:b/>
                <w:color w:val="000000"/>
                <w:sz w:val="22"/>
                <w:szCs w:val="22"/>
                <w:lang w:val="en-US" w:eastAsia="zh-CN" w:bidi="ar"/>
              </w:rPr>
              <w:t xml:space="preserve">Teologie</w:t>
            </w:r>
            <w:r>
              <w:rPr>
                <w:rFonts w:eastAsia="Arial-Italic-Bold"/>
                <w:b/>
                <w:color w:val="000000"/>
                <w:sz w:val="22"/>
                <w:szCs w:val="22"/>
                <w:lang w:val="en-US" w:eastAsia="zh-CN" w:bidi="ar"/>
              </w:rPr>
              <w:t xml:space="preserve"> </w:t>
            </w:r>
            <w:r>
              <w:rPr>
                <w:rFonts w:eastAsia="Arial-Italic-Bold"/>
                <w:b/>
                <w:color w:val="000000"/>
                <w:sz w:val="22"/>
                <w:szCs w:val="22"/>
                <w:lang w:val="en-US" w:eastAsia="zh-CN" w:bidi="ar"/>
              </w:rPr>
              <w:t xml:space="preserve">Aplicată</w:t>
            </w:r>
            <w:r>
              <w:rPr>
                <w:rFonts w:eastAsia="Arial-Italic-Bold"/>
                <w:b/>
                <w:color w:val="000000"/>
                <w:sz w:val="22"/>
                <w:szCs w:val="22"/>
                <w:lang w:val="en-US" w:eastAsia="zh-CN" w:bidi="ar"/>
              </w:rPr>
              <w:t xml:space="preserve">: </w:t>
            </w:r>
            <w:r>
              <w:rPr>
                <w:rFonts w:eastAsia="Arial-Italic-Bold"/>
                <w:b/>
                <w:color w:val="000000"/>
                <w:sz w:val="22"/>
                <w:szCs w:val="22"/>
                <w:lang w:val="en-US" w:eastAsia="zh-CN" w:bidi="ar"/>
              </w:rPr>
              <w:t xml:space="preserve">lucrarea</w:t>
            </w:r>
            <w:r>
              <w:rPr>
                <w:rFonts w:eastAsia="Arial-Italic-Bold"/>
                <w:b/>
                <w:color w:val="000000"/>
                <w:sz w:val="22"/>
                <w:szCs w:val="22"/>
                <w:lang w:val="en-US" w:eastAsia="zh-CN" w:bidi="ar"/>
              </w:rPr>
              <w:t xml:space="preserve"> cu </w:t>
            </w:r>
            <w:r>
              <w:rPr>
                <w:rFonts w:eastAsia="Arial-Italic-Bold"/>
                <w:b/>
                <w:color w:val="000000"/>
                <w:sz w:val="22"/>
                <w:szCs w:val="22"/>
                <w:lang w:val="en-US" w:eastAsia="zh-CN" w:bidi="ar"/>
              </w:rPr>
              <w:t xml:space="preserve">tinerii</w:t>
            </w:r>
            <w:r>
              <w:rPr>
                <w:rFonts w:eastAsia="Arial-Italic-Bold"/>
                <w:b/>
                <w:color w:val="000000"/>
                <w:sz w:val="22"/>
                <w:szCs w:val="22"/>
                <w:lang w:val="en-US" w:eastAsia="zh-CN" w:bidi="ar"/>
              </w:rPr>
              <w:t xml:space="preserve"> </w:t>
            </w:r>
            <w:r>
              <w:rPr>
                <w:rFonts w:eastAsia="Liberation Sans-Italic-Bold"/>
                <w:b/>
                <w:color w:val="000000"/>
                <w:sz w:val="22"/>
                <w:szCs w:val="22"/>
                <w:lang w:val="en-US" w:eastAsia="zh-CN" w:bidi="ar"/>
              </w:rPr>
              <w:t xml:space="preserve">ș</w:t>
            </w:r>
            <w:r>
              <w:rPr>
                <w:rFonts w:eastAsia="Arial-Italic-Bold"/>
                <w:b/>
                <w:color w:val="000000"/>
                <w:sz w:val="22"/>
                <w:szCs w:val="22"/>
                <w:lang w:val="en-US" w:eastAsia="zh-CN" w:bidi="ar"/>
              </w:rPr>
              <w:t xml:space="preserve">i</w:t>
            </w:r>
            <w:r>
              <w:rPr>
                <w:rFonts w:eastAsia="Arial-Italic-Bold"/>
                <w:b/>
                <w:color w:val="000000"/>
                <w:sz w:val="22"/>
                <w:szCs w:val="22"/>
                <w:lang w:val="en-US" w:eastAsia="zh-CN" w:bidi="ar"/>
              </w:rPr>
              <w:t xml:space="preserve"> </w:t>
            </w:r>
            <w:r>
              <w:rPr>
                <w:rFonts w:eastAsia="Arial-Italic-Bold"/>
                <w:b/>
                <w:color w:val="000000"/>
                <w:sz w:val="22"/>
                <w:szCs w:val="22"/>
                <w:lang w:val="en-US" w:eastAsia="zh-CN" w:bidi="ar"/>
              </w:rPr>
              <w:t xml:space="preserve">familiile</w:t>
            </w:r>
            <w:r>
              <w:rPr>
                <w:rFonts w:eastAsia="Arial-Italic-Bold"/>
                <w:b/>
                <w:color w:val="000000"/>
                <w:sz w:val="22"/>
                <w:szCs w:val="22"/>
                <w:lang w:val="en-US" w:eastAsia="zh-CN" w:bidi="ar"/>
              </w:rPr>
              <w:t xml:space="preserve"> </w:t>
            </w:r>
            <w:r>
              <w:rPr>
                <w:b/>
                <w:lang w:val="en-US"/>
              </w:rPr>
            </w:r>
            <w:r>
              <w:rPr>
                <w:b/>
                <w:lang w:val="en-US"/>
              </w:rPr>
            </w:r>
          </w:p>
        </w:tc>
      </w:tr>
    </w:tbl>
    <w:p>
      <w:pPr>
        <w:widowControl w:val="false"/>
        <w:pBdr/>
        <w:spacing w:after="20" w:before="20"/>
        <w:ind/>
        <w:rPr>
          <w:sz w:val="16"/>
          <w:szCs w:val="16"/>
        </w:rPr>
      </w:pPr>
      <w:r>
        <w:rPr>
          <w:sz w:val="16"/>
          <w:szCs w:val="16"/>
        </w:rPr>
      </w:r>
      <w:r>
        <w:rPr>
          <w:sz w:val="16"/>
          <w:szCs w:val="16"/>
        </w:rPr>
      </w:r>
      <w:r>
        <w:rPr>
          <w:sz w:val="16"/>
          <w:szCs w:val="16"/>
        </w:rPr>
      </w:r>
    </w:p>
    <w:p>
      <w:pPr>
        <w:widowControl w:val="false"/>
        <w:numPr>
          <w:ilvl w:val="0"/>
          <w:numId w:val="10"/>
        </w:numPr>
        <w:pBdr/>
        <w:spacing w:after="20" w:before="20"/>
        <w:ind/>
        <w:rPr>
          <w:b/>
        </w:rPr>
      </w:pPr>
      <w:r>
        <w:rPr>
          <w:b/>
        </w:rPr>
        <w:t xml:space="preserve">Date despre disciplină</w:t>
      </w:r>
      <w:r>
        <w:rPr>
          <w:b/>
        </w:rPr>
      </w:r>
      <w:r>
        <w:rPr>
          <w:b/>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1859"/>
        <w:gridCol w:w="524"/>
        <w:gridCol w:w="26"/>
        <w:gridCol w:w="1648"/>
        <w:gridCol w:w="786"/>
        <w:gridCol w:w="1676"/>
        <w:gridCol w:w="98"/>
        <w:gridCol w:w="601"/>
        <w:gridCol w:w="1221"/>
        <w:gridCol w:w="206"/>
        <w:gridCol w:w="1277"/>
      </w:tblGrid>
      <w:tr>
        <w:trPr/>
        <w:tc>
          <w:tcPr>
            <w:gridSpan w:val="3"/>
            <w:shd w:val="clear" w:color="ffffff" w:fill="ffffff"/>
            <w:tcBorders/>
            <w:tcW w:w="2409" w:type="dxa"/>
            <w:textDirection w:val="lrTb"/>
            <w:noWrap w:val="false"/>
          </w:tcPr>
          <w:p>
            <w:pPr>
              <w:widowControl w:val="false"/>
              <w:pBdr/>
              <w:spacing w:after="20" w:before="20"/>
              <w:ind/>
              <w:rPr/>
            </w:pPr>
            <w:r>
              <w:t xml:space="preserve">2.1. Denumirea disciplinei</w:t>
            </w:r>
            <w:r/>
          </w:p>
        </w:tc>
        <w:tc>
          <w:tcPr>
            <w:gridSpan w:val="3"/>
            <w:shd w:val="clear" w:color="ffffff" w:fill="d9d9d9"/>
            <w:tcBorders/>
            <w:tcW w:w="4110" w:type="dxa"/>
            <w:textDirection w:val="lrTb"/>
            <w:noWrap w:val="false"/>
          </w:tcPr>
          <w:p>
            <w:pPr>
              <w:pStyle w:val="1140"/>
              <w:pBdr/>
              <w:spacing/>
              <w:ind/>
              <w:jc w:val="center"/>
              <w:rPr>
                <w:rFonts w:ascii="Times New Roman" w:hAnsi="Times New Roman" w:cs="Times New Roman"/>
                <w:b/>
                <w:color w:val="auto"/>
                <w:sz w:val="22"/>
                <w:szCs w:val="22"/>
              </w:rPr>
            </w:pPr>
            <w:r>
              <w:rPr>
                <w:sz w:val="22"/>
                <w:szCs w:val="22"/>
                <w:lang w:val="ro-RO" w:bidi="he-IL"/>
              </w:rPr>
              <w:t xml:space="preserve">Principii</w:t>
            </w:r>
            <w:r>
              <w:rPr>
                <w:sz w:val="22"/>
                <w:szCs w:val="22"/>
                <w:lang w:val="en-US"/>
              </w:rPr>
              <w:t xml:space="preserve"> Nou Testamentare</w:t>
            </w:r>
            <w:r>
              <w:rPr>
                <w:sz w:val="22"/>
                <w:szCs w:val="22"/>
                <w:lang w:val="ro-RO" w:bidi="he-IL"/>
              </w:rPr>
              <w:t xml:space="preserve"> de formare spirituală și teologică </w:t>
            </w:r>
            <w:r>
              <w:rPr>
                <w:sz w:val="22"/>
                <w:szCs w:val="22"/>
                <w:lang w:val="ro-RO" w:bidi="he-IL"/>
              </w:rPr>
              <w:t xml:space="preserve">în cadrul familiei</w:t>
            </w:r>
            <w:r>
              <w:rPr>
                <w:rFonts w:ascii="Times New Roman" w:hAnsi="Times New Roman" w:cs="Times New Roman"/>
                <w:b/>
                <w:color w:val="auto"/>
                <w:sz w:val="22"/>
                <w:szCs w:val="22"/>
              </w:rPr>
            </w:r>
            <w:r>
              <w:rPr>
                <w:rFonts w:ascii="Times New Roman" w:hAnsi="Times New Roman" w:cs="Times New Roman"/>
                <w:b/>
                <w:color w:val="auto"/>
                <w:sz w:val="22"/>
                <w:szCs w:val="22"/>
              </w:rPr>
            </w:r>
          </w:p>
        </w:tc>
        <w:tc>
          <w:tcPr>
            <w:gridSpan w:val="3"/>
            <w:shd w:val="clear" w:color="ffffff" w:fill="ffffff"/>
            <w:tcBorders/>
            <w:tcW w:w="1920" w:type="dxa"/>
            <w:textDirection w:val="lrTb"/>
            <w:noWrap w:val="false"/>
          </w:tcPr>
          <w:p>
            <w:pPr>
              <w:widowControl w:val="false"/>
              <w:pBdr/>
              <w:spacing w:after="20" w:before="20"/>
              <w:ind/>
              <w:rPr/>
            </w:pPr>
            <w:r>
              <w:t xml:space="preserve">2.2. Cod disciplină</w:t>
            </w:r>
            <w:r/>
          </w:p>
        </w:tc>
        <w:tc>
          <w:tcPr>
            <w:gridSpan w:val="2"/>
            <w:shd w:val="clear" w:color="ffffff" w:fill="d9d9d9"/>
            <w:tcBorders/>
            <w:tcW w:w="1483" w:type="dxa"/>
            <w:textDirection w:val="lrTb"/>
            <w:noWrap w:val="false"/>
          </w:tcPr>
          <w:p>
            <w:pPr>
              <w:pStyle w:val="1140"/>
              <w:pBdr/>
              <w:spacing/>
              <w:ind/>
              <w:rPr>
                <w:rFonts w:ascii="Times New Roman" w:hAnsi="Times New Roman" w:cs="Times New Roman"/>
                <w:b/>
                <w:color w:val="auto"/>
                <w:sz w:val="22"/>
                <w:szCs w:val="22"/>
                <w:lang w:eastAsia="ro-RO"/>
              </w:rPr>
            </w:pPr>
            <w:r>
              <w:rPr>
                <w:rFonts w:ascii="Times New Roman" w:hAnsi="Times New Roman" w:cs="Times New Roman"/>
                <w:b/>
                <w:color w:val="auto"/>
                <w:sz w:val="22"/>
                <w:szCs w:val="22"/>
                <w:lang w:val="ro-RO" w:eastAsia="ro-RO"/>
              </w:rPr>
              <w:t xml:space="preserve">M</w:t>
            </w:r>
            <w:r>
              <w:rPr>
                <w:rFonts w:ascii="Times New Roman" w:hAnsi="Times New Roman" w:cs="Times New Roman"/>
                <w:b/>
                <w:color w:val="auto"/>
                <w:sz w:val="22"/>
                <w:szCs w:val="22"/>
                <w:lang w:val="ro-RO"/>
              </w:rPr>
              <w:t xml:space="preserve">FS</w:t>
            </w:r>
            <w:r>
              <w:rPr>
                <w:rFonts w:ascii="Times New Roman" w:hAnsi="Times New Roman" w:cs="Times New Roman"/>
                <w:b/>
                <w:color w:val="auto"/>
                <w:sz w:val="22"/>
                <w:szCs w:val="22"/>
                <w:lang w:val="ro-RO"/>
              </w:rPr>
              <w:t xml:space="preserve">T</w:t>
            </w:r>
            <w:r>
              <w:rPr>
                <w:rFonts w:ascii="Times New Roman" w:hAnsi="Times New Roman" w:cs="Times New Roman"/>
                <w:b/>
                <w:color w:val="auto"/>
                <w:sz w:val="22"/>
                <w:szCs w:val="22"/>
                <w:lang w:eastAsia="ro-RO"/>
              </w:rPr>
              <w:t xml:space="preserve">0</w:t>
            </w:r>
            <w:r>
              <w:rPr>
                <w:rFonts w:ascii="Times New Roman" w:hAnsi="Times New Roman" w:cs="Times New Roman"/>
                <w:b/>
                <w:color w:val="auto"/>
                <w:sz w:val="22"/>
                <w:szCs w:val="22"/>
                <w:lang w:val="ro-RO"/>
              </w:rPr>
              <w:t xml:space="preserve">2</w:t>
            </w:r>
            <w:r>
              <w:rPr>
                <w:rFonts w:ascii="Times New Roman" w:hAnsi="Times New Roman" w:cs="Times New Roman"/>
                <w:b/>
                <w:color w:val="auto"/>
                <w:sz w:val="22"/>
                <w:szCs w:val="22"/>
                <w:lang w:eastAsia="ro-RO"/>
              </w:rPr>
              <w:t xml:space="preserve">0</w:t>
            </w:r>
            <w:r>
              <w:rPr>
                <w:rFonts w:ascii="Times New Roman" w:hAnsi="Times New Roman" w:cs="Times New Roman"/>
                <w:b/>
                <w:color w:val="auto"/>
                <w:sz w:val="22"/>
                <w:szCs w:val="22"/>
                <w:lang w:val="ro-RO"/>
              </w:rPr>
              <w:t xml:space="preserve">1</w:t>
            </w:r>
            <w:r>
              <w:rPr>
                <w:rFonts w:ascii="Times New Roman" w:hAnsi="Times New Roman" w:cs="Times New Roman"/>
                <w:b/>
                <w:color w:val="auto"/>
                <w:sz w:val="22"/>
                <w:szCs w:val="22"/>
                <w:lang w:eastAsia="ro-RO"/>
              </w:rPr>
            </w:r>
            <w:r>
              <w:rPr>
                <w:rFonts w:ascii="Times New Roman" w:hAnsi="Times New Roman" w:cs="Times New Roman"/>
                <w:b/>
                <w:color w:val="auto"/>
                <w:sz w:val="22"/>
                <w:szCs w:val="22"/>
                <w:lang w:eastAsia="ro-RO"/>
              </w:rPr>
            </w:r>
          </w:p>
          <w:p>
            <w:pPr>
              <w:pStyle w:val="1140"/>
              <w:pBdr/>
              <w:spacing/>
              <w:ind/>
              <w:rPr>
                <w:rFonts w:ascii="Times New Roman" w:hAnsi="Times New Roman" w:cs="Times New Roman"/>
                <w:b/>
                <w:color w:val="auto"/>
                <w:sz w:val="22"/>
                <w:szCs w:val="22"/>
                <w:lang w:eastAsia="ro-RO"/>
              </w:rPr>
            </w:pPr>
            <w:r>
              <w:rPr>
                <w:rFonts w:ascii="Times New Roman" w:hAnsi="Times New Roman" w:cs="Times New Roman"/>
                <w:b/>
                <w:color w:val="auto"/>
                <w:sz w:val="22"/>
                <w:szCs w:val="22"/>
                <w:lang w:eastAsia="ro-RO"/>
              </w:rPr>
              <w:t xml:space="preserve">M+cod+an+s</w:t>
            </w:r>
            <w:r>
              <w:rPr>
                <w:rFonts w:ascii="Times New Roman" w:hAnsi="Times New Roman" w:cs="Times New Roman"/>
                <w:b/>
                <w:color w:val="auto"/>
                <w:sz w:val="22"/>
                <w:szCs w:val="22"/>
                <w:lang w:eastAsia="ro-RO"/>
              </w:rPr>
            </w:r>
            <w:r>
              <w:rPr>
                <w:rFonts w:ascii="Times New Roman" w:hAnsi="Times New Roman" w:cs="Times New Roman"/>
                <w:b/>
                <w:color w:val="auto"/>
                <w:sz w:val="22"/>
                <w:szCs w:val="22"/>
                <w:lang w:eastAsia="ro-RO"/>
              </w:rPr>
            </w:r>
          </w:p>
        </w:tc>
      </w:tr>
      <w:tr>
        <w:trPr/>
        <w:tc>
          <w:tcPr>
            <w:gridSpan w:val="4"/>
            <w:shd w:val="clear" w:color="ffffff" w:fill="ffffff"/>
            <w:tcBorders/>
            <w:tcW w:w="4057" w:type="dxa"/>
            <w:textDirection w:val="lrTb"/>
            <w:noWrap w:val="false"/>
          </w:tcPr>
          <w:p>
            <w:pPr>
              <w:widowControl w:val="false"/>
              <w:pBdr/>
              <w:spacing w:after="20" w:before="20"/>
              <w:ind/>
              <w:rPr/>
            </w:pPr>
            <w:r>
              <w:t xml:space="preserve">2.3. Titularul de curs</w:t>
            </w:r>
            <w:r/>
          </w:p>
        </w:tc>
        <w:tc>
          <w:tcPr>
            <w:gridSpan w:val="7"/>
            <w:shd w:val="clear" w:color="ffffff" w:fill="ffffff"/>
            <w:tcBorders/>
            <w:tcW w:w="5865" w:type="dxa"/>
            <w:textDirection w:val="lrTb"/>
            <w:noWrap w:val="false"/>
          </w:tcPr>
          <w:p>
            <w:pPr>
              <w:widowControl w:val="false"/>
              <w:pBdr/>
              <w:spacing w:after="20" w:before="20"/>
              <w:ind/>
              <w:rPr>
                <w:b/>
                <w:lang w:val="en-US"/>
              </w:rPr>
            </w:pPr>
            <w:r>
              <w:rPr>
                <w:b/>
              </w:rPr>
              <w:t xml:space="preserve"> </w:t>
            </w:r>
            <w:r>
              <w:rPr>
                <w:b/>
                <w:lang w:val="en-US"/>
              </w:rPr>
              <w:t xml:space="preserve">C</w:t>
            </w:r>
            <w:r>
              <w:rPr>
                <w:b/>
              </w:rPr>
              <w:t xml:space="preserve">onf</w:t>
            </w:r>
            <w:r>
              <w:rPr>
                <w:b/>
              </w:rPr>
              <w:t xml:space="preserve">. dr. </w:t>
            </w:r>
            <w:r>
              <w:rPr>
                <w:b/>
                <w:lang w:val="en-US"/>
              </w:rPr>
              <w:t xml:space="preserve">Baban Octavian</w:t>
            </w:r>
            <w:r>
              <w:rPr>
                <w:b/>
                <w:lang w:val="en-US"/>
              </w:rPr>
            </w:r>
            <w:r>
              <w:rPr>
                <w:b/>
                <w:lang w:val="en-US"/>
              </w:rPr>
            </w:r>
          </w:p>
        </w:tc>
      </w:tr>
      <w:tr>
        <w:trPr/>
        <w:tc>
          <w:tcPr>
            <w:gridSpan w:val="4"/>
            <w:shd w:val="clear" w:color="ffffff" w:fill="ffffff"/>
            <w:tcBorders/>
            <w:tcW w:w="4057" w:type="dxa"/>
            <w:textDirection w:val="lrTb"/>
            <w:noWrap w:val="false"/>
          </w:tcPr>
          <w:p>
            <w:pPr>
              <w:widowControl w:val="false"/>
              <w:pBdr/>
              <w:spacing w:after="20" w:before="20"/>
              <w:ind/>
              <w:rPr/>
            </w:pPr>
            <w:r>
              <w:t xml:space="preserve">2.4. Titularul de seminar</w:t>
            </w:r>
            <w:r/>
          </w:p>
        </w:tc>
        <w:tc>
          <w:tcPr>
            <w:gridSpan w:val="7"/>
            <w:shd w:val="clear" w:color="ffffff" w:fill="ffffff"/>
            <w:tcBorders/>
            <w:tcW w:w="5865" w:type="dxa"/>
            <w:textDirection w:val="lrTb"/>
            <w:noWrap w:val="false"/>
          </w:tcPr>
          <w:p>
            <w:pPr>
              <w:widowControl w:val="false"/>
              <w:pBdr/>
              <w:spacing w:after="20" w:before="20"/>
              <w:ind/>
              <w:rPr/>
            </w:pPr>
            <w:r>
              <w:rPr>
                <w:b/>
              </w:rPr>
              <w:t xml:space="preserve"> </w:t>
            </w:r>
            <w:r>
              <w:rPr>
                <w:b/>
                <w:lang w:val="en-US"/>
              </w:rPr>
              <w:t xml:space="preserve">Conf. dr. Baban Octavian</w:t>
            </w:r>
            <w:r/>
          </w:p>
        </w:tc>
      </w:tr>
      <w:tr>
        <w:trPr/>
        <w:tc>
          <w:tcPr>
            <w:shd w:val="clear" w:color="ffffff" w:fill="ffffff"/>
            <w:tcBorders/>
            <w:tcW w:w="1859" w:type="dxa"/>
            <w:textDirection w:val="lrTb"/>
            <w:noWrap w:val="false"/>
          </w:tcPr>
          <w:p>
            <w:pPr>
              <w:widowControl w:val="false"/>
              <w:pBdr/>
              <w:spacing w:after="20" w:before="20"/>
              <w:ind/>
              <w:rPr/>
            </w:pPr>
            <w:r>
              <w:t xml:space="preserve">2.5. Anul de studiu</w:t>
            </w:r>
            <w:r/>
          </w:p>
        </w:tc>
        <w:tc>
          <w:tcPr>
            <w:shd w:val="clear" w:color="ffffff" w:fill="d9d9d9"/>
            <w:tcBorders/>
            <w:tcW w:w="524" w:type="dxa"/>
            <w:textDirection w:val="lrTb"/>
            <w:noWrap w:val="false"/>
          </w:tcPr>
          <w:p>
            <w:pPr>
              <w:widowControl w:val="false"/>
              <w:pBdr/>
              <w:spacing w:after="20" w:before="20"/>
              <w:ind/>
              <w:rPr>
                <w:b/>
                <w:lang w:val="en-US"/>
              </w:rPr>
            </w:pPr>
            <w:r>
              <w:rPr>
                <w:b/>
                <w:lang w:val="en-US"/>
              </w:rPr>
              <w:t xml:space="preserve">I</w:t>
            </w:r>
            <w:r>
              <w:rPr>
                <w:b/>
                <w:lang w:val="ro-RO"/>
              </w:rPr>
              <w:t xml:space="preserve">I</w:t>
            </w:r>
            <w:r>
              <w:rPr>
                <w:b/>
                <w:lang w:val="en-US"/>
              </w:rPr>
            </w:r>
            <w:r>
              <w:rPr>
                <w:b/>
                <w:lang w:val="en-US"/>
              </w:rPr>
            </w:r>
          </w:p>
        </w:tc>
        <w:tc>
          <w:tcPr>
            <w:gridSpan w:val="2"/>
            <w:shd w:val="clear" w:color="ffffff" w:fill="ffffff"/>
            <w:tcBorders/>
            <w:tcW w:w="1674" w:type="dxa"/>
            <w:textDirection w:val="lrTb"/>
            <w:noWrap w:val="false"/>
          </w:tcPr>
          <w:p>
            <w:pPr>
              <w:widowControl w:val="false"/>
              <w:pBdr/>
              <w:spacing w:after="20" w:before="20"/>
              <w:ind/>
              <w:rPr/>
            </w:pPr>
            <w:r>
              <w:t xml:space="preserve">2.6. Semestrul</w:t>
            </w:r>
            <w:r/>
          </w:p>
        </w:tc>
        <w:tc>
          <w:tcPr>
            <w:shd w:val="clear" w:color="ffffff" w:fill="d9d9d9"/>
            <w:tcBorders/>
            <w:tcW w:w="786" w:type="dxa"/>
            <w:textDirection w:val="lrTb"/>
            <w:noWrap w:val="false"/>
          </w:tcPr>
          <w:p>
            <w:pPr>
              <w:widowControl w:val="false"/>
              <w:pBdr/>
              <w:spacing w:after="20" w:before="20"/>
              <w:ind/>
              <w:rPr>
                <w:b/>
                <w:lang w:val="en-US"/>
              </w:rPr>
            </w:pPr>
            <w:r>
              <w:rPr>
                <w:b/>
                <w:lang w:val="ro-RO"/>
              </w:rPr>
              <w:t xml:space="preserve">1</w:t>
            </w:r>
            <w:r>
              <w:rPr>
                <w:b/>
                <w:lang w:val="en-US"/>
              </w:rPr>
            </w:r>
            <w:r>
              <w:rPr>
                <w:b/>
                <w:lang w:val="en-US"/>
              </w:rPr>
            </w:r>
          </w:p>
        </w:tc>
        <w:tc>
          <w:tcPr>
            <w:gridSpan w:val="2"/>
            <w:shd w:val="clear" w:color="ffffff" w:fill="ffffff"/>
            <w:tcBorders/>
            <w:tcW w:w="1774" w:type="dxa"/>
            <w:textDirection w:val="lrTb"/>
            <w:noWrap w:val="false"/>
          </w:tcPr>
          <w:p>
            <w:pPr>
              <w:widowControl w:val="false"/>
              <w:pBdr/>
              <w:spacing w:after="20" w:before="20"/>
              <w:ind w:right="-107"/>
              <w:rPr/>
            </w:pPr>
            <w:r>
              <w:t xml:space="preserve">2.7. Tipul de evaluare (E/C/VP)</w:t>
            </w:r>
            <w:r/>
          </w:p>
        </w:tc>
        <w:tc>
          <w:tcPr>
            <w:shd w:val="clear" w:color="ffffff" w:fill="d9d9d9"/>
            <w:tcBorders/>
            <w:tcW w:w="601" w:type="dxa"/>
            <w:textDirection w:val="lrTb"/>
            <w:noWrap w:val="false"/>
          </w:tcPr>
          <w:p>
            <w:pPr>
              <w:widowControl w:val="false"/>
              <w:pBdr/>
              <w:spacing w:after="20" w:before="20"/>
              <w:ind/>
              <w:rPr>
                <w:b/>
              </w:rPr>
            </w:pPr>
            <w:r>
              <w:rPr>
                <w:b/>
                <w:lang w:val="en-US"/>
              </w:rPr>
              <w:t xml:space="preserve">E</w:t>
            </w:r>
            <w:r>
              <w:rPr>
                <w:b/>
              </w:rPr>
            </w:r>
            <w:r>
              <w:rPr>
                <w:b/>
              </w:rPr>
            </w:r>
          </w:p>
        </w:tc>
        <w:tc>
          <w:tcPr>
            <w:gridSpan w:val="2"/>
            <w:shd w:val="clear" w:color="ffffff" w:fill="ffffff"/>
            <w:tcBorders/>
            <w:tcW w:w="1427" w:type="dxa"/>
            <w:textDirection w:val="lrTb"/>
            <w:noWrap w:val="false"/>
          </w:tcPr>
          <w:p>
            <w:pPr>
              <w:widowControl w:val="false"/>
              <w:pBdr/>
              <w:spacing w:after="20" w:before="20"/>
              <w:ind w:right="-108"/>
              <w:rPr/>
            </w:pPr>
            <w:r>
              <w:t xml:space="preserve">2.8. Regimul disciplinei </w:t>
            </w:r>
            <w:r/>
          </w:p>
        </w:tc>
        <w:tc>
          <w:tcPr>
            <w:shd w:val="clear" w:color="ffffff" w:fill="d9d9d9"/>
            <w:tcBorders/>
            <w:tcW w:w="1277" w:type="dxa"/>
            <w:textDirection w:val="lrTb"/>
            <w:noWrap w:val="false"/>
          </w:tcPr>
          <w:p>
            <w:pPr>
              <w:widowControl w:val="false"/>
              <w:pBdr/>
              <w:spacing w:after="20" w:before="20"/>
              <w:ind/>
              <w:rPr>
                <w:b/>
              </w:rPr>
            </w:pPr>
            <w:r>
              <w:rPr>
                <w:b/>
                <w:lang w:val="ro-RO"/>
              </w:rPr>
              <w:t xml:space="preserve">OB - DA</w:t>
            </w:r>
            <w:r>
              <w:rPr>
                <w:b/>
              </w:rPr>
            </w:r>
            <w:r>
              <w:rPr>
                <w:b/>
              </w:rPr>
            </w:r>
          </w:p>
        </w:tc>
      </w:tr>
    </w:tbl>
    <w:p>
      <w:pPr>
        <w:widowControl w:val="false"/>
        <w:pBdr/>
        <w:spacing w:after="20" w:before="20"/>
        <w:ind/>
        <w:rPr>
          <w:sz w:val="16"/>
          <w:szCs w:val="16"/>
        </w:rPr>
      </w:pPr>
      <w:r>
        <w:rPr>
          <w:sz w:val="16"/>
          <w:szCs w:val="16"/>
        </w:rPr>
      </w:r>
      <w:r>
        <w:rPr>
          <w:sz w:val="16"/>
          <w:szCs w:val="16"/>
        </w:rPr>
      </w:r>
      <w:r>
        <w:rPr>
          <w:sz w:val="16"/>
          <w:szCs w:val="16"/>
        </w:rPr>
      </w:r>
    </w:p>
    <w:p>
      <w:pPr>
        <w:widowControl w:val="false"/>
        <w:numPr>
          <w:ilvl w:val="0"/>
          <w:numId w:val="10"/>
        </w:numPr>
        <w:pBdr/>
        <w:spacing w:after="20" w:before="20"/>
        <w:ind/>
        <w:rPr>
          <w:b/>
        </w:rPr>
      </w:pPr>
      <w:r>
        <w:rPr>
          <w:b/>
        </w:rPr>
        <w:t xml:space="preserve">Timpul total estimat</w:t>
      </w:r>
      <w:r>
        <w:rPr>
          <w:b/>
        </w:rPr>
      </w:r>
      <w:r>
        <w:rPr>
          <w:b/>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163"/>
        <w:gridCol w:w="1092"/>
        <w:gridCol w:w="956"/>
        <w:gridCol w:w="1114"/>
        <w:gridCol w:w="983"/>
        <w:gridCol w:w="1164"/>
        <w:gridCol w:w="1227"/>
        <w:gridCol w:w="1213"/>
      </w:tblGrid>
      <w:tr>
        <w:trPr/>
        <w:tc>
          <w:tcPr>
            <w:shd w:val="clear" w:color="ffffff" w:fill="ffffff"/>
            <w:tcBorders>
              <w:bottom w:val="single" w:color="000000" w:sz="4" w:space="0"/>
            </w:tcBorders>
            <w:tcW w:w="1091" w:type="pct"/>
            <w:textDirection w:val="lrTb"/>
            <w:noWrap w:val="false"/>
          </w:tcPr>
          <w:p>
            <w:pPr>
              <w:widowControl w:val="false"/>
              <w:pBdr/>
              <w:spacing w:after="20" w:before="20"/>
              <w:ind/>
              <w:rPr/>
            </w:pPr>
            <w:r>
              <w:t xml:space="preserve">3.1. </w:t>
            </w:r>
            <w:r>
              <w:t xml:space="preserve">Numar</w:t>
            </w:r>
            <w:r>
              <w:t xml:space="preserve"> ore pe </w:t>
            </w:r>
            <w:r>
              <w:t xml:space="preserve">saptamana</w:t>
            </w:r>
            <w:r/>
          </w:p>
        </w:tc>
        <w:tc>
          <w:tcPr>
            <w:shd w:val="clear" w:color="ffffff" w:fill="ffffff"/>
            <w:tcBorders>
              <w:bottom w:val="single" w:color="000000" w:sz="4" w:space="0"/>
            </w:tcBorders>
            <w:tcW w:w="551" w:type="pct"/>
            <w:textDirection w:val="lrTb"/>
            <w:noWrap w:val="false"/>
          </w:tcPr>
          <w:p>
            <w:pPr>
              <w:widowControl w:val="false"/>
              <w:pBdr/>
              <w:spacing w:after="20" w:before="20"/>
              <w:ind/>
              <w:rPr>
                <w:lang w:val="en-US"/>
              </w:rPr>
            </w:pPr>
            <w:r>
              <w:rPr>
                <w:lang w:val="ro-RO"/>
              </w:rPr>
              <w:t xml:space="preserve">3</w:t>
            </w:r>
            <w:r>
              <w:rPr>
                <w:lang w:val="en-US"/>
              </w:rPr>
            </w:r>
            <w:r>
              <w:rPr>
                <w:lang w:val="en-US"/>
              </w:rPr>
            </w:r>
          </w:p>
        </w:tc>
        <w:tc>
          <w:tcPr>
            <w:gridSpan w:val="2"/>
            <w:shd w:val="clear" w:color="ffffff" w:fill="ffffff"/>
            <w:tcBorders>
              <w:bottom w:val="single" w:color="000000" w:sz="4" w:space="0"/>
            </w:tcBorders>
            <w:tcW w:w="1044" w:type="pct"/>
            <w:textDirection w:val="lrTb"/>
            <w:noWrap w:val="false"/>
          </w:tcPr>
          <w:p>
            <w:pPr>
              <w:widowControl w:val="false"/>
              <w:pBdr/>
              <w:spacing w:after="20" w:before="20"/>
              <w:ind/>
              <w:rPr/>
            </w:pPr>
            <w:r>
              <w:t xml:space="preserve">din care: 3.2. curs</w:t>
            </w:r>
            <w:r/>
          </w:p>
        </w:tc>
        <w:tc>
          <w:tcPr>
            <w:shd w:val="clear" w:color="ffffff" w:fill="d9d9d9"/>
            <w:tcBorders>
              <w:bottom w:val="single" w:color="000000" w:sz="4" w:space="0"/>
            </w:tcBorders>
            <w:tcW w:w="496" w:type="pct"/>
            <w:textDirection w:val="lrTb"/>
            <w:noWrap w:val="false"/>
          </w:tcPr>
          <w:p>
            <w:pPr>
              <w:widowControl w:val="false"/>
              <w:pBdr/>
              <w:spacing w:after="20" w:before="20"/>
              <w:ind/>
              <w:rPr>
                <w:b/>
                <w:lang w:val="en-US"/>
              </w:rPr>
            </w:pPr>
            <w:r>
              <w:rPr>
                <w:b/>
                <w:lang w:val="ro-RO"/>
              </w:rPr>
              <w:t xml:space="preserve">2</w:t>
            </w:r>
            <w:r>
              <w:rPr>
                <w:b/>
                <w:lang w:val="en-US"/>
              </w:rPr>
            </w:r>
            <w:r>
              <w:rPr>
                <w:b/>
                <w:lang w:val="en-US"/>
              </w:rPr>
            </w:r>
          </w:p>
        </w:tc>
        <w:tc>
          <w:tcPr>
            <w:gridSpan w:val="2"/>
            <w:shd w:val="clear" w:color="ffffff" w:fill="ffffff"/>
            <w:tcBorders>
              <w:bottom w:val="single" w:color="000000" w:sz="4" w:space="0"/>
            </w:tcBorders>
            <w:tcW w:w="1206" w:type="pct"/>
            <w:textDirection w:val="lrTb"/>
            <w:noWrap w:val="false"/>
          </w:tcPr>
          <w:p>
            <w:pPr>
              <w:widowControl w:val="false"/>
              <w:pBdr/>
              <w:spacing w:after="20" w:before="20"/>
              <w:ind/>
              <w:rPr/>
            </w:pPr>
            <w:r>
              <w:t xml:space="preserve">3.3. seminar/laborator</w:t>
            </w:r>
            <w:r/>
          </w:p>
        </w:tc>
        <w:tc>
          <w:tcPr>
            <w:shd w:val="clear" w:color="ffffff" w:fill="d9d9d9"/>
            <w:tcBorders>
              <w:bottom w:val="single" w:color="000000" w:sz="4" w:space="0"/>
            </w:tcBorders>
            <w:tcW w:w="612" w:type="pct"/>
            <w:textDirection w:val="lrTb"/>
            <w:noWrap w:val="false"/>
          </w:tcPr>
          <w:p>
            <w:pPr>
              <w:widowControl w:val="false"/>
              <w:pBdr/>
              <w:spacing w:after="20" w:before="20"/>
              <w:ind/>
              <w:rPr>
                <w:b/>
              </w:rPr>
            </w:pPr>
            <w:r>
              <w:rPr>
                <w:b/>
              </w:rPr>
              <w:t xml:space="preserve">1</w:t>
            </w:r>
            <w:r>
              <w:rPr>
                <w:b/>
              </w:rPr>
            </w:r>
            <w:r>
              <w:rPr>
                <w:b/>
              </w:rPr>
            </w:r>
          </w:p>
        </w:tc>
      </w:tr>
      <w:tr>
        <w:trPr/>
        <w:tc>
          <w:tcPr>
            <w:shd w:val="clear" w:color="ffffff" w:fill="ffffff"/>
            <w:tcBorders/>
            <w:tcW w:w="1091" w:type="pct"/>
            <w:textDirection w:val="lrTb"/>
            <w:noWrap w:val="false"/>
          </w:tcPr>
          <w:p>
            <w:pPr>
              <w:widowControl w:val="false"/>
              <w:pBdr/>
              <w:spacing w:after="20" w:before="20"/>
              <w:ind/>
              <w:rPr/>
            </w:pPr>
            <w:r>
              <w:t xml:space="preserve">3.4. Total ore din planul de </w:t>
            </w:r>
            <w:r>
              <w:t xml:space="preserve">învăţămînt</w:t>
            </w:r>
            <w:r/>
          </w:p>
        </w:tc>
        <w:tc>
          <w:tcPr>
            <w:shd w:val="clear" w:color="ffffff" w:fill="ffffff"/>
            <w:tcBorders/>
            <w:tcW w:w="551" w:type="pct"/>
            <w:textDirection w:val="lrTb"/>
            <w:noWrap w:val="false"/>
          </w:tcPr>
          <w:p>
            <w:pPr>
              <w:widowControl w:val="false"/>
              <w:pBdr/>
              <w:spacing w:after="20" w:before="20"/>
              <w:ind/>
              <w:rPr>
                <w:b/>
                <w:lang w:val="en-US"/>
              </w:rPr>
            </w:pPr>
            <w:r>
              <w:rPr>
                <w:b/>
                <w:lang w:val="ro-RO"/>
              </w:rPr>
              <w:t xml:space="preserve">42</w:t>
            </w:r>
            <w:r>
              <w:rPr>
                <w:b/>
                <w:lang w:val="en-US"/>
              </w:rPr>
            </w:r>
            <w:r>
              <w:rPr>
                <w:b/>
                <w:lang w:val="en-US"/>
              </w:rPr>
            </w:r>
          </w:p>
        </w:tc>
        <w:tc>
          <w:tcPr>
            <w:gridSpan w:val="2"/>
            <w:shd w:val="clear" w:color="ffffff" w:fill="ffffff"/>
            <w:tcBorders/>
            <w:tcW w:w="1044" w:type="pct"/>
            <w:textDirection w:val="lrTb"/>
            <w:noWrap w:val="false"/>
          </w:tcPr>
          <w:p>
            <w:pPr>
              <w:widowControl w:val="false"/>
              <w:pBdr/>
              <w:spacing w:after="20" w:before="20"/>
              <w:ind/>
              <w:rPr/>
            </w:pPr>
            <w:r>
              <w:t xml:space="preserve">din care: 3.5. curs</w:t>
            </w:r>
            <w:r/>
          </w:p>
        </w:tc>
        <w:tc>
          <w:tcPr>
            <w:shd w:val="clear" w:color="ffffff" w:fill="ffffff"/>
            <w:tcBorders/>
            <w:tcW w:w="496" w:type="pct"/>
            <w:textDirection w:val="lrTb"/>
            <w:noWrap w:val="false"/>
          </w:tcPr>
          <w:p>
            <w:pPr>
              <w:widowControl w:val="false"/>
              <w:pBdr/>
              <w:spacing w:after="20" w:before="20"/>
              <w:ind/>
              <w:rPr>
                <w:b/>
                <w:lang w:val="en-US"/>
              </w:rPr>
            </w:pPr>
            <w:r>
              <w:rPr>
                <w:b/>
                <w:lang w:val="ro-RO"/>
              </w:rPr>
              <w:t xml:space="preserve">28</w:t>
            </w:r>
            <w:r>
              <w:rPr>
                <w:b/>
                <w:lang w:val="en-US"/>
              </w:rPr>
            </w:r>
            <w:r>
              <w:rPr>
                <w:b/>
                <w:lang w:val="en-US"/>
              </w:rPr>
            </w:r>
          </w:p>
        </w:tc>
        <w:tc>
          <w:tcPr>
            <w:gridSpan w:val="2"/>
            <w:shd w:val="clear" w:color="ffffff" w:fill="ffffff"/>
            <w:tcBorders/>
            <w:tcW w:w="1206" w:type="pct"/>
            <w:textDirection w:val="lrTb"/>
            <w:noWrap w:val="false"/>
          </w:tcPr>
          <w:p>
            <w:pPr>
              <w:widowControl w:val="false"/>
              <w:pBdr/>
              <w:spacing w:after="20" w:before="20"/>
              <w:ind/>
              <w:rPr/>
            </w:pPr>
            <w:r>
              <w:t xml:space="preserve">3.6. seminar/laborator</w:t>
            </w:r>
            <w:r/>
          </w:p>
        </w:tc>
        <w:tc>
          <w:tcPr>
            <w:shd w:val="clear" w:color="ffffff" w:fill="ffffff"/>
            <w:tcBorders/>
            <w:tcW w:w="612" w:type="pct"/>
            <w:textDirection w:val="lrTb"/>
            <w:noWrap w:val="false"/>
          </w:tcPr>
          <w:p>
            <w:pPr>
              <w:widowControl w:val="false"/>
              <w:pBdr/>
              <w:spacing w:after="20" w:before="20"/>
              <w:ind/>
              <w:rPr>
                <w:b/>
              </w:rPr>
            </w:pPr>
            <w:r>
              <w:rPr>
                <w:b/>
              </w:rPr>
              <w:t xml:space="preserve">14</w:t>
            </w:r>
            <w:r>
              <w:rPr>
                <w:b/>
              </w:rPr>
            </w:r>
            <w:r>
              <w:rPr>
                <w:b/>
              </w:rPr>
            </w:r>
          </w:p>
        </w:tc>
      </w:tr>
      <w:tr>
        <w:trPr/>
        <w:tc>
          <w:tcPr>
            <w:gridSpan w:val="7"/>
            <w:shd w:val="clear" w:color="ffffff" w:fill="ffffff"/>
            <w:tcBorders/>
            <w:tcW w:w="4388" w:type="pct"/>
            <w:textDirection w:val="lrTb"/>
            <w:noWrap w:val="false"/>
          </w:tcPr>
          <w:p>
            <w:pPr>
              <w:widowControl w:val="false"/>
              <w:pBdr/>
              <w:spacing w:after="20" w:before="20"/>
              <w:ind/>
              <w:rPr/>
            </w:pPr>
            <w:r>
              <w:t xml:space="preserve">Distribuţia</w:t>
            </w:r>
            <w:r>
              <w:t xml:space="preserve"> fondului de timp de studiu individual</w:t>
            </w:r>
            <w:r/>
          </w:p>
        </w:tc>
        <w:tc>
          <w:tcPr>
            <w:shd w:val="clear" w:color="ffffff" w:fill="ffffff"/>
            <w:tcBorders/>
            <w:tcW w:w="612" w:type="pct"/>
            <w:textDirection w:val="lrTb"/>
            <w:noWrap w:val="false"/>
          </w:tcPr>
          <w:p>
            <w:pPr>
              <w:widowControl w:val="false"/>
              <w:pBdr/>
              <w:spacing w:after="20" w:before="20"/>
              <w:ind/>
              <w:rPr/>
            </w:pPr>
            <w:r>
              <w:t xml:space="preserve">ore</w:t>
            </w:r>
            <w:r/>
          </w:p>
        </w:tc>
      </w:tr>
      <w:tr>
        <w:trPr/>
        <w:tc>
          <w:tcPr>
            <w:gridSpan w:val="7"/>
            <w:shd w:val="clear" w:color="ffffff" w:fill="ffffff"/>
            <w:tcBorders/>
            <w:tcW w:w="4388" w:type="pct"/>
            <w:textDirection w:val="lrTb"/>
            <w:noWrap w:val="false"/>
          </w:tcPr>
          <w:p>
            <w:pPr>
              <w:widowControl w:val="false"/>
              <w:numPr>
                <w:ilvl w:val="0"/>
                <w:numId w:val="11"/>
              </w:numPr>
              <w:pBdr/>
              <w:spacing w:after="20" w:before="20"/>
              <w:ind/>
              <w:rPr/>
            </w:pPr>
            <w:r>
              <w:t xml:space="preserve">Studiul tematic după manual, suport de curs</w:t>
            </w:r>
            <w:r/>
          </w:p>
        </w:tc>
        <w:tc>
          <w:tcPr>
            <w:shd w:val="clear" w:color="ffffff" w:fill="ffffff"/>
            <w:tcBorders/>
            <w:tcW w:w="612" w:type="pct"/>
            <w:textDirection w:val="lrTb"/>
            <w:noWrap w:val="false"/>
          </w:tcPr>
          <w:p>
            <w:pPr>
              <w:widowControl w:val="false"/>
              <w:pBdr/>
              <w:spacing w:after="20" w:before="20"/>
              <w:ind/>
              <w:rPr>
                <w:lang w:val="en-US"/>
              </w:rPr>
            </w:pPr>
            <w:r>
              <w:rPr>
                <w:lang w:val="ro-RO"/>
              </w:rPr>
              <w:t xml:space="preserve">51</w:t>
            </w:r>
            <w:r>
              <w:rPr>
                <w:lang w:val="en-US"/>
              </w:rPr>
            </w:r>
            <w:r>
              <w:rPr>
                <w:lang w:val="en-US"/>
              </w:rPr>
            </w:r>
          </w:p>
        </w:tc>
      </w:tr>
      <w:tr>
        <w:trPr/>
        <w:tc>
          <w:tcPr>
            <w:gridSpan w:val="7"/>
            <w:shd w:val="clear" w:color="ffffff" w:fill="ffffff"/>
            <w:tcBorders/>
            <w:tcW w:w="4388" w:type="pct"/>
            <w:textDirection w:val="lrTb"/>
            <w:noWrap w:val="false"/>
          </w:tcPr>
          <w:p>
            <w:pPr>
              <w:widowControl w:val="false"/>
              <w:numPr>
                <w:ilvl w:val="0"/>
                <w:numId w:val="11"/>
              </w:numPr>
              <w:pBdr/>
              <w:spacing w:after="20" w:before="20"/>
              <w:ind/>
              <w:rPr/>
            </w:pPr>
            <w:r>
              <w:t xml:space="preserve">Documentare suplimentară</w:t>
            </w:r>
            <w:r/>
          </w:p>
        </w:tc>
        <w:tc>
          <w:tcPr>
            <w:shd w:val="clear" w:color="ffffff" w:fill="ffffff"/>
            <w:tcBorders/>
            <w:tcW w:w="612" w:type="pct"/>
            <w:textDirection w:val="lrTb"/>
            <w:noWrap w:val="false"/>
          </w:tcPr>
          <w:p>
            <w:pPr>
              <w:widowControl w:val="false"/>
              <w:pBdr/>
              <w:spacing w:after="20" w:before="20"/>
              <w:ind/>
              <w:rPr>
                <w:lang w:val="en-US"/>
              </w:rPr>
            </w:pPr>
            <w:r>
              <w:rPr>
                <w:lang w:val="ro-RO"/>
              </w:rPr>
              <w:t xml:space="preserve">30</w:t>
            </w:r>
            <w:r>
              <w:rPr>
                <w:lang w:val="en-US"/>
              </w:rPr>
            </w:r>
            <w:r>
              <w:rPr>
                <w:lang w:val="en-US"/>
              </w:rPr>
            </w:r>
          </w:p>
        </w:tc>
      </w:tr>
      <w:tr>
        <w:trPr/>
        <w:tc>
          <w:tcPr>
            <w:gridSpan w:val="7"/>
            <w:shd w:val="clear" w:color="ffffff" w:fill="ffffff"/>
            <w:tcBorders/>
            <w:tcW w:w="4388" w:type="pct"/>
            <w:textDirection w:val="lrTb"/>
            <w:noWrap w:val="false"/>
          </w:tcPr>
          <w:p>
            <w:pPr>
              <w:widowControl w:val="false"/>
              <w:numPr>
                <w:ilvl w:val="0"/>
                <w:numId w:val="11"/>
              </w:numPr>
              <w:pBdr/>
              <w:spacing w:after="20" w:before="20"/>
              <w:ind/>
              <w:rPr/>
            </w:pPr>
            <w:r>
              <w:t xml:space="preserve">Studiu aplicativ</w:t>
            </w:r>
            <w:r/>
          </w:p>
        </w:tc>
        <w:tc>
          <w:tcPr>
            <w:shd w:val="clear" w:color="ffffff" w:fill="ffffff"/>
            <w:tcBorders/>
            <w:tcW w:w="612" w:type="pct"/>
            <w:textDirection w:val="lrTb"/>
            <w:noWrap w:val="false"/>
          </w:tcPr>
          <w:p>
            <w:pPr>
              <w:widowControl w:val="false"/>
              <w:pBdr/>
              <w:spacing w:after="20" w:before="20"/>
              <w:ind/>
              <w:rPr>
                <w:lang w:val="en-US"/>
              </w:rPr>
            </w:pPr>
            <w:r>
              <w:rPr>
                <w:lang w:val="ro-RO"/>
              </w:rPr>
              <w:t xml:space="preserve">27</w:t>
            </w:r>
            <w:r>
              <w:rPr>
                <w:lang w:val="en-US"/>
              </w:rPr>
            </w:r>
            <w:r>
              <w:rPr>
                <w:lang w:val="en-US"/>
              </w:rPr>
            </w:r>
          </w:p>
        </w:tc>
      </w:tr>
      <w:tr>
        <w:trPr/>
        <w:tc>
          <w:tcPr>
            <w:gridSpan w:val="7"/>
            <w:shd w:val="clear" w:color="ffffff" w:fill="ffffff"/>
            <w:tcBorders/>
            <w:tcW w:w="4388" w:type="pct"/>
            <w:textDirection w:val="lrTb"/>
            <w:noWrap w:val="false"/>
          </w:tcPr>
          <w:p>
            <w:pPr>
              <w:widowControl w:val="false"/>
              <w:pBdr/>
              <w:spacing w:after="20" w:before="20"/>
              <w:ind/>
              <w:rPr/>
            </w:pPr>
            <w:r>
              <w:t xml:space="preserve">Total ore  </w:t>
            </w:r>
            <w:r>
              <w:t xml:space="preserve">activităţi</w:t>
            </w:r>
            <w:r>
              <w:t xml:space="preserve"> individuale</w:t>
            </w:r>
            <w:r/>
          </w:p>
        </w:tc>
        <w:tc>
          <w:tcPr>
            <w:shd w:val="clear" w:color="ffffff" w:fill="ffffff"/>
            <w:tcBorders/>
            <w:tcW w:w="612" w:type="pct"/>
            <w:textDirection w:val="lrTb"/>
            <w:noWrap w:val="false"/>
          </w:tcPr>
          <w:p>
            <w:pPr>
              <w:widowControl w:val="false"/>
              <w:pBdr/>
              <w:spacing w:after="20" w:before="20"/>
              <w:ind/>
              <w:rPr>
                <w:b/>
                <w:lang w:val="en-US"/>
              </w:rPr>
            </w:pPr>
            <w:r>
              <w:rPr>
                <w:b/>
                <w:lang w:val="ro-RO"/>
              </w:rPr>
              <w:t xml:space="preserve">108</w:t>
            </w:r>
            <w:r>
              <w:rPr>
                <w:b/>
                <w:lang w:val="en-US"/>
              </w:rPr>
            </w:r>
            <w:r>
              <w:rPr>
                <w:b/>
                <w:lang w:val="en-US"/>
              </w:rPr>
            </w:r>
          </w:p>
        </w:tc>
      </w:tr>
      <w:tr>
        <w:trPr>
          <w:gridAfter w:val="2"/>
        </w:trPr>
        <w:tc>
          <w:tcPr>
            <w:gridSpan w:val="3"/>
            <w:shd w:val="clear" w:color="ffffff" w:fill="ffffff"/>
            <w:tcBorders/>
            <w:tcW w:w="2124" w:type="pct"/>
            <w:textDirection w:val="lrTb"/>
            <w:noWrap w:val="false"/>
          </w:tcPr>
          <w:p>
            <w:pPr>
              <w:widowControl w:val="false"/>
              <w:pBdr/>
              <w:spacing w:after="20" w:before="20"/>
              <w:ind/>
              <w:rPr/>
            </w:pPr>
            <w:r>
              <w:t xml:space="preserve">3.7 Total ore studiu individual</w:t>
            </w:r>
            <w:r/>
          </w:p>
        </w:tc>
        <w:tc>
          <w:tcPr>
            <w:gridSpan w:val="3"/>
            <w:shd w:val="clear" w:color="ffffff" w:fill="ffffff"/>
            <w:tcBorders/>
            <w:tcW w:w="1645" w:type="pct"/>
            <w:textDirection w:val="lrTb"/>
            <w:noWrap w:val="false"/>
          </w:tcPr>
          <w:p>
            <w:pPr>
              <w:widowControl w:val="false"/>
              <w:pBdr/>
              <w:spacing w:after="20" w:before="20"/>
              <w:ind/>
              <w:rPr>
                <w:lang w:val="en-US"/>
              </w:rPr>
            </w:pPr>
            <w:r>
              <w:t xml:space="preserve">1</w:t>
            </w:r>
            <w:r>
              <w:rPr>
                <w:lang w:val="ro-RO"/>
              </w:rPr>
              <w:t xml:space="preserve">08</w:t>
            </w:r>
            <w:r>
              <w:rPr>
                <w:lang w:val="en-US"/>
              </w:rPr>
            </w:r>
            <w:r>
              <w:rPr>
                <w:lang w:val="en-US"/>
              </w:rPr>
            </w:r>
          </w:p>
        </w:tc>
      </w:tr>
      <w:tr>
        <w:trPr>
          <w:gridAfter w:val="2"/>
        </w:trPr>
        <w:tc>
          <w:tcPr>
            <w:gridSpan w:val="3"/>
            <w:shd w:val="clear" w:color="ffffff" w:fill="ffffff"/>
            <w:tcBorders/>
            <w:tcW w:w="2124" w:type="pct"/>
            <w:textDirection w:val="lrTb"/>
            <w:noWrap w:val="false"/>
          </w:tcPr>
          <w:p>
            <w:pPr>
              <w:widowControl w:val="false"/>
              <w:pBdr/>
              <w:spacing w:after="20" w:before="20"/>
              <w:ind/>
              <w:rPr/>
            </w:pPr>
            <w:r>
              <w:t xml:space="preserve">3.8 Total ore din planul de </w:t>
            </w:r>
            <w:r>
              <w:t xml:space="preserve">învăţământ</w:t>
            </w:r>
            <w:r/>
          </w:p>
        </w:tc>
        <w:tc>
          <w:tcPr>
            <w:gridSpan w:val="3"/>
            <w:shd w:val="clear" w:color="ffffff" w:fill="ffffff"/>
            <w:tcBorders/>
            <w:tcW w:w="1645" w:type="pct"/>
            <w:textDirection w:val="lrTb"/>
            <w:noWrap w:val="false"/>
          </w:tcPr>
          <w:p>
            <w:pPr>
              <w:widowControl w:val="false"/>
              <w:pBdr/>
              <w:spacing w:after="20" w:before="20"/>
              <w:ind/>
              <w:rPr>
                <w:lang w:val="en-US"/>
              </w:rPr>
            </w:pPr>
            <w:r>
              <w:rPr>
                <w:lang w:val="ro-RO"/>
              </w:rPr>
              <w:t xml:space="preserve">42</w:t>
            </w:r>
            <w:r>
              <w:rPr>
                <w:lang w:val="en-US"/>
              </w:rPr>
            </w:r>
            <w:r>
              <w:rPr>
                <w:lang w:val="en-US"/>
              </w:rPr>
            </w:r>
          </w:p>
        </w:tc>
      </w:tr>
      <w:tr>
        <w:trPr>
          <w:gridAfter w:val="2"/>
        </w:trPr>
        <w:tc>
          <w:tcPr>
            <w:gridSpan w:val="3"/>
            <w:shd w:val="clear" w:color="ffffff" w:fill="ffffff"/>
            <w:tcBorders/>
            <w:tcW w:w="2124" w:type="pct"/>
            <w:textDirection w:val="lrTb"/>
            <w:noWrap w:val="false"/>
          </w:tcPr>
          <w:p>
            <w:pPr>
              <w:widowControl w:val="false"/>
              <w:pBdr/>
              <w:spacing w:after="20" w:before="20"/>
              <w:ind/>
              <w:rPr/>
            </w:pPr>
            <w:r>
              <w:t xml:space="preserve">3.9 Total ore pe semestru</w:t>
            </w:r>
            <w:r/>
          </w:p>
        </w:tc>
        <w:tc>
          <w:tcPr>
            <w:gridSpan w:val="3"/>
            <w:shd w:val="clear" w:color="ffffff" w:fill="ffffff"/>
            <w:tcBorders/>
            <w:tcW w:w="1645" w:type="pct"/>
            <w:textDirection w:val="lrTb"/>
            <w:noWrap w:val="false"/>
          </w:tcPr>
          <w:p>
            <w:pPr>
              <w:widowControl w:val="false"/>
              <w:pBdr/>
              <w:spacing w:after="20" w:before="20"/>
              <w:ind/>
              <w:rPr>
                <w:b/>
                <w:lang w:val="en-US"/>
              </w:rPr>
            </w:pPr>
            <w:r>
              <w:rPr>
                <w:b/>
              </w:rPr>
              <w:t xml:space="preserve">15</w:t>
            </w:r>
            <w:r>
              <w:rPr>
                <w:b/>
                <w:lang w:val="en-US"/>
              </w:rPr>
              <w:t xml:space="preserve">0</w:t>
            </w:r>
            <w:r>
              <w:rPr>
                <w:b/>
                <w:lang w:val="en-US"/>
              </w:rPr>
            </w:r>
            <w:r>
              <w:rPr>
                <w:b/>
                <w:lang w:val="en-US"/>
              </w:rPr>
            </w:r>
          </w:p>
        </w:tc>
      </w:tr>
      <w:tr>
        <w:trPr>
          <w:gridAfter w:val="2"/>
          <w:trHeight w:val="95"/>
        </w:trPr>
        <w:tc>
          <w:tcPr>
            <w:gridSpan w:val="3"/>
            <w:shd w:val="clear" w:color="ffffff" w:fill="ffffff"/>
            <w:tcBorders/>
            <w:tcW w:w="2124" w:type="pct"/>
            <w:textDirection w:val="lrTb"/>
            <w:noWrap w:val="false"/>
          </w:tcPr>
          <w:p>
            <w:pPr>
              <w:widowControl w:val="false"/>
              <w:pBdr/>
              <w:spacing w:after="20" w:before="20"/>
              <w:ind/>
              <w:rPr/>
            </w:pPr>
            <w:r>
              <w:t xml:space="preserve">3.10 Numărul de credite</w:t>
            </w:r>
            <w:r/>
          </w:p>
        </w:tc>
        <w:tc>
          <w:tcPr>
            <w:gridSpan w:val="3"/>
            <w:shd w:val="clear" w:color="ffffff" w:fill="f2f2f2"/>
            <w:tcBorders/>
            <w:tcW w:w="1645" w:type="pct"/>
            <w:textDirection w:val="lrTb"/>
            <w:noWrap w:val="false"/>
          </w:tcPr>
          <w:p>
            <w:pPr>
              <w:widowControl w:val="false"/>
              <w:pBdr/>
              <w:spacing w:after="20" w:before="20"/>
              <w:ind/>
              <w:rPr>
                <w:b/>
              </w:rPr>
            </w:pPr>
            <w:r>
              <w:rPr>
                <w:b/>
              </w:rPr>
              <w:t xml:space="preserve">6</w:t>
            </w:r>
            <w:r>
              <w:rPr>
                <w:b/>
              </w:rPr>
            </w:r>
            <w:r>
              <w:rPr>
                <w:b/>
              </w:rPr>
            </w:r>
          </w:p>
        </w:tc>
      </w:tr>
    </w:tbl>
    <w:p>
      <w:pPr>
        <w:widowControl w:val="false"/>
        <w:pBdr/>
        <w:spacing/>
        <w:ind/>
        <w:rPr>
          <w:sz w:val="16"/>
          <w:szCs w:val="16"/>
        </w:rPr>
      </w:pPr>
      <w:r>
        <w:rPr>
          <w:sz w:val="16"/>
          <w:szCs w:val="16"/>
        </w:rPr>
      </w:r>
      <w:r>
        <w:rPr>
          <w:sz w:val="16"/>
          <w:szCs w:val="16"/>
        </w:rPr>
      </w:r>
      <w:r>
        <w:rPr>
          <w:sz w:val="16"/>
          <w:szCs w:val="16"/>
        </w:rPr>
      </w:r>
    </w:p>
    <w:p>
      <w:pPr>
        <w:widowControl w:val="false"/>
        <w:pBdr/>
        <w:spacing/>
        <w:ind/>
        <w:rPr/>
      </w:pPr>
      <w:r>
        <w:rPr>
          <w:b/>
        </w:rPr>
        <w:t xml:space="preserve">4.  </w:t>
      </w:r>
      <w:r>
        <w:rPr>
          <w:b/>
        </w:rPr>
        <w:t xml:space="preserve">Condiţii</w:t>
      </w:r>
      <w:r>
        <w:t xml:space="preserve"> (acolo unde este cazul)</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4251"/>
        <w:gridCol w:w="5671"/>
      </w:tblGrid>
      <w:tr>
        <w:trPr/>
        <w:tc>
          <w:tcPr>
            <w:shd w:val="clear" w:color="ffffff" w:fill="ffffff"/>
            <w:tcBorders/>
            <w:tcW w:w="4251" w:type="dxa"/>
            <w:textDirection w:val="lrTb"/>
            <w:noWrap w:val="false"/>
          </w:tcPr>
          <w:p>
            <w:pPr>
              <w:widowControl w:val="false"/>
              <w:pBdr/>
              <w:spacing/>
              <w:ind/>
              <w:rPr/>
            </w:pPr>
            <w:r>
              <w:t xml:space="preserve">4.1. De </w:t>
            </w:r>
            <w:r>
              <w:t xml:space="preserve">desfăşurare</w:t>
            </w:r>
            <w:r>
              <w:t xml:space="preserve"> a cursului</w:t>
            </w:r>
            <w:r/>
          </w:p>
        </w:tc>
        <w:tc>
          <w:tcPr>
            <w:shd w:val="clear" w:color="ffffff" w:fill="ffffff"/>
            <w:tcBorders/>
            <w:tcW w:w="5671" w:type="dxa"/>
            <w:textDirection w:val="lrTb"/>
            <w:noWrap w:val="false"/>
          </w:tcPr>
          <w:p>
            <w:pPr>
              <w:widowControl w:val="false"/>
              <w:pBdr/>
              <w:spacing/>
              <w:ind/>
              <w:rPr>
                <w:i/>
              </w:rPr>
            </w:pPr>
            <w:r>
              <w:rPr>
                <w:i/>
              </w:rPr>
              <w:t xml:space="preserve">Sală dotată cu tablă, videoproiector, laptop.</w:t>
            </w:r>
            <w:r>
              <w:rPr>
                <w:i/>
              </w:rPr>
            </w:r>
            <w:r>
              <w:rPr>
                <w:i/>
              </w:rPr>
            </w:r>
          </w:p>
        </w:tc>
      </w:tr>
      <w:tr>
        <w:trPr/>
        <w:tc>
          <w:tcPr>
            <w:shd w:val="clear" w:color="ffffff" w:fill="ffffff"/>
            <w:tcBorders/>
            <w:tcW w:w="4251" w:type="dxa"/>
            <w:textDirection w:val="lrTb"/>
            <w:noWrap w:val="false"/>
          </w:tcPr>
          <w:p>
            <w:pPr>
              <w:widowControl w:val="false"/>
              <w:pBdr/>
              <w:spacing/>
              <w:ind/>
              <w:rPr/>
            </w:pPr>
            <w:r>
              <w:t xml:space="preserve">4.1. De </w:t>
            </w:r>
            <w:r>
              <w:t xml:space="preserve">desfăşurarea</w:t>
            </w:r>
            <w:r>
              <w:t xml:space="preserve"> a seminarului/laboratorului</w:t>
            </w:r>
            <w:r/>
          </w:p>
        </w:tc>
        <w:tc>
          <w:tcPr>
            <w:shd w:val="clear" w:color="ffffff" w:fill="ffffff"/>
            <w:tcBorders/>
            <w:tcW w:w="5671" w:type="dxa"/>
            <w:textDirection w:val="lrTb"/>
            <w:noWrap w:val="false"/>
          </w:tcPr>
          <w:p>
            <w:pPr>
              <w:widowControl w:val="false"/>
              <w:pBdr/>
              <w:spacing/>
              <w:ind/>
              <w:rPr>
                <w:i/>
              </w:rPr>
            </w:pPr>
            <w:r>
              <w:rPr>
                <w:i/>
              </w:rPr>
              <w:t xml:space="preserve">Sală dotată cu tablă, videoproiector, laptop.</w:t>
            </w:r>
            <w:r>
              <w:rPr>
                <w:i/>
              </w:rPr>
            </w:r>
            <w:r>
              <w:rPr>
                <w:i/>
              </w:rPr>
            </w:r>
          </w:p>
        </w:tc>
      </w:tr>
    </w:tbl>
    <w:p>
      <w:pPr>
        <w:pBdr/>
        <w:spacing/>
        <w:ind w:firstLine="709"/>
        <w:rPr>
          <w:sz w:val="16"/>
          <w:szCs w:val="16"/>
        </w:rPr>
      </w:pPr>
      <w:r>
        <w:rPr>
          <w:sz w:val="16"/>
          <w:szCs w:val="16"/>
        </w:rPr>
      </w:r>
      <w:r>
        <w:rPr>
          <w:sz w:val="16"/>
          <w:szCs w:val="16"/>
        </w:rPr>
      </w:r>
      <w:r>
        <w:rPr>
          <w:sz w:val="16"/>
          <w:szCs w:val="16"/>
        </w:rPr>
      </w:r>
    </w:p>
    <w:p>
      <w:pPr>
        <w:pBdr/>
        <w:spacing/>
        <w:ind/>
        <w:rPr>
          <w:rFonts w:ascii="Gentium" w:hAnsi="Gentium"/>
          <w:b/>
          <w:sz w:val="22"/>
          <w:szCs w:val="22"/>
        </w:rPr>
      </w:pPr>
      <w:r>
        <w:rPr>
          <w:rFonts w:ascii="Gentium" w:hAnsi="Gentium"/>
          <w:b/>
          <w:sz w:val="22"/>
          <w:szCs w:val="22"/>
        </w:rPr>
        <w:t xml:space="preserve">5. Competenţele specifice acumulate</w:t>
      </w:r>
      <w:r>
        <w:rPr>
          <w:rFonts w:ascii="Gentium" w:hAnsi="Gentium"/>
          <w:b/>
          <w:sz w:val="22"/>
          <w:szCs w:val="22"/>
        </w:rPr>
      </w:r>
      <w:r>
        <w:rPr>
          <w:rFonts w:ascii="Gentium" w:hAnsi="Gentium"/>
          <w:b/>
          <w:sz w:val="22"/>
          <w:szCs w:val="22"/>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8"/>
        <w:gridCol w:w="9004"/>
      </w:tblGrid>
      <w:tr>
        <w:trPr>
          <w:cantSplit/>
          <w:trHeight w:val="1165"/>
        </w:trPr>
        <w:tc>
          <w:tcPr>
            <w:shd w:val="clear" w:color="ffffff" w:fill="ffffff"/>
            <w:tcBorders/>
            <w:tcW w:w="958" w:type="dxa"/>
            <w:vAlign w:val="center"/>
            <w:textDirection w:val="btLr"/>
            <w:noWrap w:val="false"/>
          </w:tcPr>
          <w:p>
            <w:pPr>
              <w:pBdr/>
              <w:spacing/>
              <w:ind/>
              <w:jc w:val="center"/>
              <w:rPr>
                <w:rFonts w:ascii="Gentium" w:hAnsi="Gentium"/>
                <w:b/>
                <w:sz w:val="22"/>
                <w:szCs w:val="22"/>
              </w:rPr>
            </w:pPr>
            <w:r>
              <w:rPr>
                <w:rFonts w:ascii="Gentium" w:hAnsi="Gentium"/>
                <w:b/>
                <w:sz w:val="22"/>
                <w:szCs w:val="22"/>
              </w:rPr>
              <w:t xml:space="preserve">Competenţe  ESCO</w:t>
            </w:r>
            <w:r>
              <w:rPr>
                <w:rFonts w:ascii="Gentium" w:hAnsi="Gentium"/>
                <w:b/>
                <w:sz w:val="22"/>
                <w:szCs w:val="22"/>
              </w:rPr>
            </w:r>
            <w:r>
              <w:rPr>
                <w:rFonts w:ascii="Gentium" w:hAnsi="Gentium"/>
                <w:b/>
                <w:sz w:val="22"/>
                <w:szCs w:val="22"/>
              </w:rPr>
            </w:r>
          </w:p>
        </w:tc>
        <w:tc>
          <w:tcPr>
            <w:shd w:val="clear" w:color="ffffff" w:fill="ffffff"/>
            <w:tcBorders/>
            <w:tcW w:w="9004" w:type="dxa"/>
            <w:textDirection w:val="lrTb"/>
            <w:noWrap w:val="false"/>
          </w:tcPr>
          <w:p>
            <w:pPr>
              <w:widowControl w:val="false"/>
              <w:pBdr/>
              <w:spacing/>
              <w:ind w:left="567"/>
              <w:rPr>
                <w:rFonts w:ascii="Cambria" w:hAnsi="Cambria"/>
                <w:color w:val="000000"/>
                <w:sz w:val="20"/>
                <w:szCs w:val="20"/>
                <w:lang w:val="ro-RO"/>
              </w:rPr>
            </w:pPr>
            <w:r>
              <w:rPr>
                <w:rFonts w:ascii="Cambria" w:hAnsi="Cambria"/>
                <w:color w:val="000000"/>
                <w:sz w:val="20"/>
                <w:szCs w:val="20"/>
                <w:lang w:val="ro-RO"/>
              </w:rPr>
              <w:t xml:space="preserve">C2. Interpretează textele religioase despre familie ale NT</w:t>
            </w:r>
            <w:r>
              <w:rPr>
                <w:rFonts w:ascii="Cambria" w:hAnsi="Cambria"/>
                <w:color w:val="000000"/>
                <w:sz w:val="20"/>
                <w:szCs w:val="20"/>
                <w:lang w:val="ro-RO"/>
              </w:rPr>
            </w:r>
            <w:r>
              <w:rPr>
                <w:rFonts w:ascii="Cambria" w:hAnsi="Cambria"/>
                <w:color w:val="000000"/>
                <w:sz w:val="20"/>
                <w:szCs w:val="20"/>
                <w:lang w:val="ro-RO"/>
              </w:rPr>
            </w:r>
          </w:p>
          <w:p>
            <w:pPr>
              <w:widowControl w:val="false"/>
              <w:pBdr/>
              <w:spacing/>
              <w:ind w:left="567"/>
              <w:rPr>
                <w:rFonts w:ascii="Cambria" w:hAnsi="Cambria"/>
                <w:color w:val="000000"/>
                <w:sz w:val="20"/>
                <w:szCs w:val="20"/>
                <w:highlight w:val="none"/>
                <w:lang w:val="ro-RO"/>
              </w:rPr>
            </w:pPr>
            <w:r>
              <w:rPr>
                <w:rFonts w:ascii="Cambria" w:hAnsi="Cambria"/>
                <w:color w:val="000000"/>
                <w:sz w:val="20"/>
                <w:szCs w:val="20"/>
                <w:lang w:val="ro-RO"/>
              </w:rPr>
              <w:t xml:space="preserve">C3. Expune cu maturitate textele religioase în grupurile de familii.</w:t>
            </w:r>
            <w:r>
              <w:rPr>
                <w:rFonts w:ascii="Cambria" w:hAnsi="Cambria"/>
                <w:color w:val="000000"/>
                <w:sz w:val="20"/>
                <w:szCs w:val="20"/>
                <w:highlight w:val="none"/>
                <w:lang w:val="ro-RO"/>
              </w:rPr>
            </w:r>
            <w:r>
              <w:rPr>
                <w:rFonts w:ascii="Cambria" w:hAnsi="Cambria"/>
                <w:color w:val="000000"/>
                <w:sz w:val="20"/>
                <w:szCs w:val="20"/>
                <w:highlight w:val="none"/>
                <w:lang w:val="ro-RO"/>
              </w:rPr>
            </w:r>
          </w:p>
          <w:p>
            <w:pPr>
              <w:widowControl w:val="false"/>
              <w:pBdr/>
              <w:spacing/>
              <w:ind w:left="567"/>
              <w:rPr>
                <w:rFonts w:ascii="Cambria" w:hAnsi="Cambria"/>
                <w:color w:val="000000"/>
                <w:sz w:val="20"/>
                <w:szCs w:val="20"/>
                <w:lang w:val="ro-RO"/>
              </w:rPr>
            </w:pPr>
            <w:r>
              <w:rPr>
                <w:rFonts w:ascii="Cambria" w:hAnsi="Cambria"/>
                <w:color w:val="000000"/>
                <w:sz w:val="20"/>
                <w:szCs w:val="20"/>
                <w:highlight w:val="none"/>
                <w:lang w:val="ro-RO"/>
              </w:rPr>
              <w:t xml:space="preserve">C10. Îndrumă familiile creștine în aplicarea direcțiilor teologice și spirituale ale NT. </w:t>
            </w:r>
            <w:r>
              <w:rPr>
                <w:rFonts w:ascii="Cambria" w:hAnsi="Cambria"/>
                <w:color w:val="000000"/>
                <w:sz w:val="20"/>
                <w:szCs w:val="20"/>
                <w:lang w:val="ro-RO"/>
              </w:rPr>
            </w:r>
            <w:r>
              <w:rPr>
                <w:rFonts w:ascii="Cambria" w:hAnsi="Cambria"/>
                <w:color w:val="000000"/>
                <w:sz w:val="20"/>
                <w:szCs w:val="20"/>
                <w:lang w:val="ro-RO"/>
              </w:rPr>
            </w:r>
          </w:p>
        </w:tc>
      </w:tr>
    </w:tbl>
    <w:p>
      <w:pPr>
        <w:pBdr/>
        <w:spacing/>
        <w:ind w:firstLine="709"/>
        <w:rPr>
          <w:b/>
          <w:bCs/>
          <w:sz w:val="16"/>
          <w:szCs w:val="16"/>
        </w:rPr>
      </w:pPr>
      <w:r>
        <w:rPr>
          <w:b/>
          <w:bCs/>
          <w:sz w:val="16"/>
          <w:szCs w:val="16"/>
        </w:rPr>
      </w:r>
      <w:r>
        <w:rPr>
          <w:b/>
          <w:bCs/>
          <w:sz w:val="16"/>
          <w:szCs w:val="16"/>
        </w:rPr>
      </w:r>
      <w:r>
        <w:rPr>
          <w:b/>
          <w:bCs/>
          <w:sz w:val="16"/>
          <w:szCs w:val="16"/>
        </w:rPr>
      </w:r>
    </w:p>
    <w:p>
      <w:pPr>
        <w:pBdr/>
        <w:spacing/>
        <w:ind/>
        <w:rPr>
          <w:sz w:val="22"/>
          <w:szCs w:val="22"/>
        </w:rPr>
      </w:pPr>
      <w:r>
        <w:rPr>
          <w:b/>
          <w:sz w:val="22"/>
          <w:szCs w:val="22"/>
        </w:rPr>
        <w:t xml:space="preserve">6. Obiectivele disciplinei</w:t>
      </w:r>
      <w:r>
        <w:rPr>
          <w:sz w:val="22"/>
          <w:szCs w:val="22"/>
        </w:rPr>
        <w:t xml:space="preserve"> (</w:t>
      </w:r>
      <w:r>
        <w:rPr>
          <w:sz w:val="22"/>
          <w:szCs w:val="22"/>
        </w:rPr>
        <w:t xml:space="preserve">reieşind</w:t>
      </w:r>
      <w:r>
        <w:rPr>
          <w:sz w:val="22"/>
          <w:szCs w:val="22"/>
        </w:rPr>
        <w:t xml:space="preserve"> din grila </w:t>
      </w:r>
      <w:r>
        <w:rPr>
          <w:sz w:val="22"/>
          <w:szCs w:val="22"/>
        </w:rPr>
        <w:t xml:space="preserve">competenţelor</w:t>
      </w:r>
      <w:r>
        <w:rPr>
          <w:sz w:val="22"/>
          <w:szCs w:val="22"/>
        </w:rPr>
        <w:t xml:space="preserve"> specifice acumulate)</w:t>
      </w:r>
      <w:r>
        <w:rPr>
          <w:sz w:val="22"/>
          <w:szCs w:val="22"/>
        </w:rPr>
      </w:r>
      <w:r>
        <w:rPr>
          <w:sz w:val="22"/>
          <w:szCs w:val="22"/>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Pr w:horzAnchor="margin" w:tblpXSpec="left" w:vertAnchor="text" w:tblpY="104" w:leftFromText="180" w:topFromText="0" w:rightFromText="180" w:bottomFromText="0"/>
        <w:tblLook w:val="04A0" w:firstRow="1" w:lastRow="0" w:firstColumn="1" w:lastColumn="0" w:noHBand="0" w:noVBand="1"/>
      </w:tblPr>
      <w:tblGrid>
        <w:gridCol w:w="2821"/>
        <w:gridCol w:w="7091"/>
      </w:tblGrid>
      <w:tr>
        <w:trPr/>
        <w:tc>
          <w:tcPr>
            <w:shd w:val="clear" w:color="ffffff" w:fill="ffffff"/>
            <w:tcBorders/>
            <w:tcW w:w="2832" w:type="dxa"/>
            <w:textDirection w:val="lrTb"/>
            <w:noWrap w:val="false"/>
          </w:tcPr>
          <w:p>
            <w:pPr>
              <w:pBdr/>
              <w:spacing/>
              <w:ind/>
              <w:rPr>
                <w:sz w:val="22"/>
                <w:szCs w:val="22"/>
              </w:rPr>
            </w:pPr>
            <w:r>
              <w:rPr>
                <w:sz w:val="22"/>
                <w:szCs w:val="22"/>
              </w:rPr>
              <w:t xml:space="preserve">6.1 Obiectivul general al disciplinei</w:t>
            </w:r>
            <w:r>
              <w:rPr>
                <w:sz w:val="22"/>
                <w:szCs w:val="22"/>
              </w:rPr>
            </w:r>
            <w:r>
              <w:rPr>
                <w:sz w:val="22"/>
                <w:szCs w:val="22"/>
              </w:rPr>
            </w:r>
          </w:p>
        </w:tc>
        <w:tc>
          <w:tcPr>
            <w:shd w:val="clear" w:color="ffffff" w:fill="ffffff"/>
            <w:tcBorders/>
            <w:tcW w:w="7130" w:type="dxa"/>
            <w:textDirection w:val="lrTb"/>
            <w:noWrap w:val="false"/>
          </w:tcPr>
          <w:p>
            <w:pPr>
              <w:pBdr/>
              <w:tabs>
                <w:tab w:val="center" w:leader="none" w:pos="3457"/>
              </w:tabs>
              <w:spacing/>
              <w:ind/>
              <w:rPr>
                <w:sz w:val="22"/>
                <w:szCs w:val="22"/>
              </w:rPr>
            </w:pPr>
            <w:r>
              <w:rPr>
                <w:sz w:val="22"/>
                <w:szCs w:val="22"/>
                <w:lang w:val="ro-RO"/>
              </w:rPr>
              <w:t xml:space="preserve">OG1. Conștientizează slujitorul creștin de dimensiunea formării și consilierii creștine în cadrul familiei.</w:t>
            </w:r>
            <w:r>
              <w:rPr>
                <w:sz w:val="22"/>
                <w:szCs w:val="22"/>
              </w:rPr>
              <w:tab/>
            </w:r>
            <w:r>
              <w:rPr>
                <w:sz w:val="22"/>
                <w:szCs w:val="22"/>
              </w:rPr>
            </w:r>
            <w:r>
              <w:rPr>
                <w:sz w:val="22"/>
                <w:szCs w:val="22"/>
              </w:rPr>
            </w:r>
          </w:p>
        </w:tc>
      </w:tr>
      <w:tr>
        <w:trPr>
          <w:trHeight w:val="831"/>
        </w:trPr>
        <w:tc>
          <w:tcPr>
            <w:shd w:val="clear" w:color="ffffff" w:fill="ffffff"/>
            <w:tcBorders/>
            <w:tcW w:w="2832" w:type="dxa"/>
            <w:textDirection w:val="lrTb"/>
            <w:noWrap w:val="false"/>
          </w:tcPr>
          <w:p>
            <w:pPr>
              <w:pBdr/>
              <w:spacing/>
              <w:ind/>
              <w:rPr>
                <w:sz w:val="22"/>
                <w:szCs w:val="22"/>
              </w:rPr>
            </w:pPr>
            <w:r>
              <w:rPr>
                <w:sz w:val="22"/>
                <w:szCs w:val="22"/>
              </w:rPr>
              <w:t xml:space="preserve">6.2 Obiectivele specifice</w:t>
            </w:r>
            <w:r>
              <w:rPr>
                <w:sz w:val="22"/>
                <w:szCs w:val="22"/>
              </w:rPr>
            </w:r>
            <w:r>
              <w:rPr>
                <w:sz w:val="22"/>
                <w:szCs w:val="22"/>
              </w:rPr>
            </w:r>
          </w:p>
          <w:p>
            <w:pPr>
              <w:pBdr/>
              <w:spacing/>
              <w:ind/>
              <w:rPr>
                <w:sz w:val="22"/>
                <w:szCs w:val="22"/>
              </w:rPr>
            </w:pPr>
            <w:r>
              <w:rPr>
                <w:sz w:val="22"/>
                <w:szCs w:val="22"/>
              </w:rPr>
            </w:r>
            <w:r>
              <w:rPr>
                <w:sz w:val="22"/>
                <w:szCs w:val="22"/>
              </w:rPr>
            </w:r>
            <w:r>
              <w:rPr>
                <w:sz w:val="22"/>
                <w:szCs w:val="22"/>
              </w:rPr>
            </w:r>
          </w:p>
          <w:p>
            <w:pPr>
              <w:pBdr/>
              <w:spacing/>
              <w:ind/>
              <w:rPr>
                <w:sz w:val="22"/>
                <w:szCs w:val="22"/>
              </w:rPr>
            </w:pPr>
            <w:r>
              <w:rPr>
                <w:sz w:val="22"/>
                <w:szCs w:val="22"/>
              </w:rPr>
            </w:r>
            <w:r>
              <w:rPr>
                <w:sz w:val="22"/>
                <w:szCs w:val="22"/>
              </w:rPr>
            </w:r>
            <w:r>
              <w:rPr>
                <w:sz w:val="22"/>
                <w:szCs w:val="22"/>
              </w:rPr>
            </w:r>
          </w:p>
        </w:tc>
        <w:tc>
          <w:tcPr>
            <w:shd w:val="clear" w:color="ffffff" w:fill="ffffff"/>
            <w:tcBorders/>
            <w:tcW w:w="7130" w:type="dxa"/>
            <w:textDirection w:val="lrTb"/>
            <w:noWrap w:val="false"/>
          </w:tcPr>
          <w:p>
            <w:pPr>
              <w:pBdr/>
              <w:tabs>
                <w:tab w:val="left" w:leader="none" w:pos="4865"/>
              </w:tabs>
              <w:spacing/>
              <w:ind/>
              <w:rPr>
                <w:sz w:val="22"/>
                <w:szCs w:val="22"/>
              </w:rPr>
            </w:pPr>
            <w:r>
              <w:rPr>
                <w:sz w:val="22"/>
                <w:szCs w:val="22"/>
              </w:rPr>
              <w:t xml:space="preserve">OS1. Dezvoltarea </w:t>
            </w:r>
            <w:r>
              <w:rPr>
                <w:sz w:val="22"/>
                <w:szCs w:val="22"/>
                <w:lang w:val="en-US"/>
              </w:rPr>
              <w:t xml:space="preserve">capacităţii</w:t>
            </w:r>
            <w:r>
              <w:rPr>
                <w:sz w:val="22"/>
                <w:szCs w:val="22"/>
                <w:lang w:val="en-US"/>
              </w:rPr>
              <w:t xml:space="preserve"> de a formula </w:t>
            </w:r>
            <w:r>
              <w:rPr>
                <w:sz w:val="22"/>
                <w:szCs w:val="22"/>
                <w:lang w:val="en-US"/>
              </w:rPr>
              <w:t xml:space="preserve">şi</w:t>
            </w:r>
            <w:r>
              <w:rPr>
                <w:sz w:val="22"/>
                <w:szCs w:val="22"/>
                <w:lang w:val="en-US"/>
              </w:rPr>
              <w:t xml:space="preserve"> </w:t>
            </w:r>
            <w:r>
              <w:rPr>
                <w:sz w:val="22"/>
                <w:szCs w:val="22"/>
                <w:lang w:val="en-US"/>
              </w:rPr>
              <w:t xml:space="preserve">aplica</w:t>
            </w:r>
            <w:r>
              <w:rPr>
                <w:sz w:val="22"/>
                <w:szCs w:val="22"/>
                <w:lang w:val="en-US"/>
              </w:rPr>
              <w:t xml:space="preserve"> </w:t>
            </w:r>
            <w:r>
              <w:rPr>
                <w:sz w:val="22"/>
                <w:szCs w:val="22"/>
                <w:lang w:val="en-US"/>
              </w:rPr>
              <w:t xml:space="preserve">forme</w:t>
            </w:r>
            <w:r>
              <w:rPr>
                <w:sz w:val="22"/>
                <w:szCs w:val="22"/>
                <w:lang w:val="en-US"/>
              </w:rPr>
              <w:t xml:space="preserve"> </w:t>
            </w:r>
            <w:r>
              <w:rPr>
                <w:sz w:val="22"/>
                <w:szCs w:val="22"/>
                <w:lang w:val="ro-RO"/>
              </w:rPr>
              <w:t xml:space="preserve">de consiliere creștină în familii.</w:t>
            </w:r>
            <w:r>
              <w:rPr>
                <w:sz w:val="22"/>
                <w:szCs w:val="22"/>
              </w:rPr>
              <w:tab/>
            </w:r>
            <w:r>
              <w:rPr>
                <w:sz w:val="22"/>
                <w:szCs w:val="22"/>
              </w:rPr>
            </w:r>
            <w:r>
              <w:rPr>
                <w:sz w:val="22"/>
                <w:szCs w:val="22"/>
              </w:rPr>
            </w:r>
          </w:p>
          <w:p>
            <w:pPr>
              <w:numPr>
                <w:ilvl w:val="0"/>
                <w:numId w:val="12"/>
              </w:numPr>
              <w:pBdr/>
              <w:spacing/>
              <w:ind w:left="0"/>
              <w:rPr>
                <w:sz w:val="22"/>
                <w:szCs w:val="22"/>
              </w:rPr>
            </w:pPr>
            <w:r>
              <w:rPr>
                <w:sz w:val="22"/>
                <w:szCs w:val="22"/>
              </w:rPr>
              <w:t xml:space="preserve">OS2. Dezvoltarea capacității de planificare a formării și educației creștine în contextul familiei.</w:t>
            </w:r>
            <w:r>
              <w:rPr>
                <w:sz w:val="22"/>
                <w:szCs w:val="22"/>
              </w:rPr>
            </w:r>
            <w:r>
              <w:rPr>
                <w:sz w:val="22"/>
                <w:szCs w:val="22"/>
              </w:rPr>
            </w:r>
          </w:p>
        </w:tc>
      </w:tr>
    </w:tbl>
    <w:p>
      <w:pPr>
        <w:pBdr/>
        <w:spacing/>
        <w:ind/>
        <w:rPr>
          <w:sz w:val="16"/>
          <w:szCs w:val="16"/>
        </w:rPr>
      </w:pPr>
      <w:r>
        <w:rPr>
          <w:sz w:val="16"/>
          <w:szCs w:val="16"/>
        </w:rPr>
      </w:r>
      <w:r>
        <w:rPr>
          <w:sz w:val="16"/>
          <w:szCs w:val="16"/>
        </w:rPr>
      </w:r>
      <w:r>
        <w:rPr>
          <w:sz w:val="16"/>
          <w:szCs w:val="16"/>
        </w:rPr>
      </w:r>
    </w:p>
    <w:p>
      <w:pPr>
        <w:pBdr/>
        <w:spacing/>
        <w:ind/>
        <w:rPr>
          <w:b/>
          <w:sz w:val="22"/>
          <w:szCs w:val="22"/>
        </w:rPr>
      </w:pPr>
      <w:r>
        <w:rPr>
          <w:b/>
          <w:sz w:val="22"/>
          <w:szCs w:val="22"/>
        </w:rPr>
        <w:t xml:space="preserve">7. </w:t>
      </w:r>
      <w:r>
        <w:rPr>
          <w:b/>
          <w:sz w:val="22"/>
          <w:szCs w:val="22"/>
        </w:rPr>
        <w:t xml:space="preserve">Conţinuturi</w:t>
      </w:r>
      <w:r>
        <w:rPr>
          <w:b/>
          <w:sz w:val="22"/>
          <w:szCs w:val="22"/>
        </w:rPr>
      </w:r>
      <w:r>
        <w:rPr>
          <w:b/>
          <w:sz w:val="22"/>
          <w:szCs w:val="22"/>
        </w:rPr>
      </w:r>
    </w:p>
    <w:tbl>
      <w:tblPr>
        <w:tblInd w:w="-1" w:type="dxa"/>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060"/>
        <w:gridCol w:w="2951"/>
        <w:gridCol w:w="1911"/>
      </w:tblGrid>
      <w:tr>
        <w:trPr>
          <w:trHeight w:val="550"/>
        </w:trPr>
        <w:tc>
          <w:tcPr>
            <w:shd w:val="clear" w:color="ffffff" w:fill="d9d9d9"/>
            <w:tcBorders/>
            <w:tcW w:w="5060" w:type="dxa"/>
            <w:textDirection w:val="lrTb"/>
            <w:noWrap w:val="false"/>
          </w:tcPr>
          <w:p>
            <w:pPr>
              <w:pBdr/>
              <w:spacing/>
              <w:ind/>
              <w:rPr>
                <w:b/>
                <w:sz w:val="22"/>
                <w:szCs w:val="22"/>
              </w:rPr>
            </w:pPr>
            <w:r>
              <w:rPr>
                <w:b/>
                <w:sz w:val="22"/>
                <w:szCs w:val="22"/>
              </w:rPr>
              <w:t xml:space="preserve">7.1. Curs</w:t>
            </w:r>
            <w:r>
              <w:rPr>
                <w:b/>
                <w:sz w:val="22"/>
                <w:szCs w:val="22"/>
              </w:rPr>
            </w:r>
            <w:r>
              <w:rPr>
                <w:b/>
                <w:sz w:val="22"/>
                <w:szCs w:val="22"/>
              </w:rPr>
            </w:r>
          </w:p>
        </w:tc>
        <w:tc>
          <w:tcPr>
            <w:shd w:val="clear" w:color="ffffff" w:fill="d9d9d9"/>
            <w:tcBorders/>
            <w:tcW w:w="2951" w:type="dxa"/>
            <w:textDirection w:val="lrTb"/>
            <w:noWrap w:val="false"/>
          </w:tcPr>
          <w:p>
            <w:pPr>
              <w:pBdr/>
              <w:spacing/>
              <w:ind/>
              <w:rPr>
                <w:b/>
                <w:sz w:val="22"/>
                <w:szCs w:val="22"/>
              </w:rPr>
            </w:pPr>
            <w:r>
              <w:rPr>
                <w:b/>
                <w:sz w:val="22"/>
                <w:szCs w:val="22"/>
              </w:rPr>
              <w:t xml:space="preserve">Metode de predare</w:t>
            </w:r>
            <w:r>
              <w:rPr>
                <w:b/>
                <w:sz w:val="22"/>
                <w:szCs w:val="22"/>
                <w:lang w:val="en-US"/>
              </w:rPr>
              <w:t xml:space="preserve">: </w:t>
            </w:r>
            <w:r>
              <w:rPr>
                <w:b/>
                <w:sz w:val="22"/>
                <w:szCs w:val="22"/>
                <w:lang w:val="en-US"/>
              </w:rPr>
              <w:t xml:space="preserve">expunere</w:t>
            </w:r>
            <w:r>
              <w:rPr>
                <w:b/>
                <w:sz w:val="22"/>
                <w:szCs w:val="22"/>
                <w:lang w:val="en-US"/>
              </w:rPr>
              <w:t xml:space="preserve"> </w:t>
            </w:r>
            <w:r>
              <w:rPr>
                <w:b/>
                <w:sz w:val="22"/>
                <w:szCs w:val="22"/>
                <w:lang w:val="en-US"/>
              </w:rPr>
              <w:t xml:space="preserve">interactivă</w:t>
            </w:r>
            <w:r>
              <w:rPr>
                <w:b/>
                <w:sz w:val="22"/>
                <w:szCs w:val="22"/>
                <w:lang w:val="en-US"/>
              </w:rPr>
              <w:t xml:space="preserve">, </w:t>
            </w:r>
            <w:r>
              <w:rPr>
                <w:b/>
                <w:sz w:val="22"/>
                <w:szCs w:val="22"/>
                <w:lang w:val="en-US"/>
              </w:rPr>
              <w:t xml:space="preserve">descoperire</w:t>
            </w:r>
            <w:r>
              <w:rPr>
                <w:b/>
                <w:sz w:val="22"/>
                <w:szCs w:val="22"/>
                <w:lang w:val="en-US"/>
              </w:rPr>
              <w:t xml:space="preserve"> </w:t>
            </w:r>
            <w:r>
              <w:rPr>
                <w:b/>
                <w:sz w:val="22"/>
                <w:szCs w:val="22"/>
                <w:lang w:val="en-US"/>
              </w:rPr>
              <w:t xml:space="preserve">dirijată</w:t>
            </w:r>
            <w:r>
              <w:rPr>
                <w:b/>
                <w:sz w:val="22"/>
                <w:szCs w:val="22"/>
                <w:lang w:val="en-US"/>
              </w:rPr>
              <w:t xml:space="preserve">, </w:t>
            </w:r>
            <w:r>
              <w:rPr>
                <w:b/>
                <w:sz w:val="22"/>
                <w:szCs w:val="22"/>
                <w:lang w:val="en-US"/>
              </w:rPr>
              <w:t xml:space="preserve">altele</w:t>
            </w:r>
            <w:r>
              <w:rPr>
                <w:b/>
                <w:sz w:val="22"/>
                <w:szCs w:val="22"/>
              </w:rPr>
            </w:r>
            <w:r>
              <w:rPr>
                <w:b/>
                <w:sz w:val="22"/>
                <w:szCs w:val="22"/>
              </w:rPr>
            </w:r>
          </w:p>
        </w:tc>
        <w:tc>
          <w:tcPr>
            <w:shd w:val="clear" w:color="ffffff" w:fill="d9d9d9"/>
            <w:tcBorders/>
            <w:tcW w:w="1911" w:type="dxa"/>
            <w:textDirection w:val="lrTb"/>
            <w:noWrap w:val="false"/>
          </w:tcPr>
          <w:p>
            <w:pPr>
              <w:pBdr/>
              <w:spacing/>
              <w:ind/>
              <w:rPr>
                <w:b/>
                <w:sz w:val="22"/>
                <w:szCs w:val="22"/>
              </w:rPr>
            </w:pPr>
            <w:r>
              <w:rPr>
                <w:b/>
                <w:sz w:val="22"/>
                <w:szCs w:val="22"/>
              </w:rPr>
              <w:t xml:space="preserve">Observaţii</w:t>
            </w:r>
            <w:r>
              <w:rPr>
                <w:b/>
                <w:sz w:val="22"/>
                <w:szCs w:val="22"/>
              </w:rPr>
            </w:r>
            <w:r>
              <w:rPr>
                <w:b/>
                <w:sz w:val="22"/>
                <w:szCs w:val="22"/>
              </w:rPr>
            </w:r>
          </w:p>
        </w:tc>
      </w:tr>
      <w:tr>
        <w:trPr>
          <w:trHeight w:val="387"/>
        </w:trPr>
        <w:tc>
          <w:tcPr>
            <w:shd w:val="clear" w:color="ffffff" w:fill="ffffff"/>
            <w:tcBorders/>
            <w:tcW w:w="5060" w:type="dxa"/>
            <w:textDirection w:val="lrTb"/>
            <w:noWrap w:val="false"/>
          </w:tcPr>
          <w:p>
            <w:pPr>
              <w:pBdr/>
              <w:spacing/>
              <w:ind/>
              <w:rPr>
                <w:rFonts w:ascii="Gentium" w:hAnsi="Gentium" w:eastAsia="Gentium" w:cs="Gentium"/>
                <w:sz w:val="22"/>
                <w:szCs w:val="22"/>
                <w:highlight w:val="none"/>
                <w:lang w:val="ro-RO"/>
              </w:rPr>
            </w:pPr>
            <w:r>
              <w:rPr>
                <w:rFonts w:ascii="Gentium" w:hAnsi="Gentium" w:eastAsia="Gentium" w:cs="Gentium"/>
                <w:sz w:val="22"/>
                <w:szCs w:val="22"/>
                <w:lang w:val="ro-RO"/>
              </w:rPr>
              <w:t xml:space="preserve">1.Elemente introductive de</w:t>
            </w:r>
            <w:r>
              <w:rPr>
                <w:rFonts w:ascii="Gentium" w:hAnsi="Gentium" w:eastAsia="Gentium" w:cs="Gentium"/>
                <w:sz w:val="22"/>
                <w:szCs w:val="22"/>
                <w:lang w:val="en-US"/>
              </w:rPr>
              <w:t xml:space="preserve"> antropologie, </w:t>
            </w:r>
            <w:r>
              <w:rPr>
                <w:rFonts w:ascii="Gentium" w:hAnsi="Gentium" w:eastAsia="Gentium" w:cs="Gentium"/>
                <w:sz w:val="22"/>
                <w:szCs w:val="22"/>
                <w:lang w:val="ro-RO"/>
              </w:rPr>
              <w:t xml:space="preserve">definirea </w:t>
            </w:r>
            <w:r>
              <w:rPr>
                <w:rFonts w:ascii="Gentium" w:hAnsi="Gentium" w:eastAsia="Gentium" w:cs="Gentium"/>
                <w:sz w:val="22"/>
                <w:szCs w:val="22"/>
              </w:rPr>
              <w:t xml:space="preserve">familiei</w:t>
            </w:r>
            <w:r>
              <w:rPr>
                <w:rFonts w:ascii="Gentium" w:hAnsi="Gentium" w:eastAsia="Gentium" w:cs="Gentium"/>
                <w:sz w:val="22"/>
                <w:szCs w:val="22"/>
                <w:lang w:val="en-US"/>
              </w:rPr>
              <w:t xml:space="preserve"> </w:t>
            </w:r>
            <w:r>
              <w:rPr>
                <w:rFonts w:ascii="Gentium" w:hAnsi="Gentium" w:eastAsia="Gentium" w:cs="Gentium"/>
                <w:sz w:val="22"/>
                <w:szCs w:val="22"/>
                <w:lang w:val="ro-RO"/>
              </w:rPr>
              <w:t xml:space="preserve">și educație creștină</w:t>
            </w:r>
            <w:r>
              <w:rPr>
                <w:rFonts w:ascii="Gentium" w:hAnsi="Gentium" w:cs="Gentium"/>
                <w:sz w:val="22"/>
                <w:szCs w:val="22"/>
              </w:rPr>
            </w:r>
            <w:r>
              <w:rPr>
                <w:rFonts w:ascii="Gentium" w:hAnsi="Gentium" w:eastAsia="Gentium" w:cs="Gentium"/>
                <w:sz w:val="22"/>
                <w:szCs w:val="22"/>
                <w:highlight w:val="none"/>
                <w:lang w:val="ro-RO"/>
              </w:rPr>
            </w:r>
          </w:p>
          <w:p w14:paraId="12EA7B17">
            <w:pPr>
              <w:pBdr/>
              <w:spacing/>
              <w:ind/>
              <w:rPr>
                <w:rFonts w:ascii="Gentium" w:hAnsi="Gentium" w:cs="Gentium"/>
                <w:sz w:val="22"/>
                <w:szCs w:val="22"/>
              </w:rPr>
            </w:pPr>
            <w:r>
              <w:rPr>
                <w:rFonts w:ascii="Gentium" w:hAnsi="Gentium" w:cs="Gentium"/>
                <w:sz w:val="22"/>
                <w:szCs w:val="22"/>
              </w:rPr>
            </w:r>
            <w:r>
              <w:rPr>
                <w:rFonts w:ascii="Gentium" w:hAnsi="Gentium" w:cs="Gentium"/>
                <w:sz w:val="22"/>
                <w:szCs w:val="22"/>
              </w:rPr>
            </w:r>
            <w:r>
              <w:rPr>
                <w:rFonts w:ascii="Gentium" w:hAnsi="Gentium" w:cs="Gentium"/>
                <w:sz w:val="22"/>
                <w:szCs w:val="22"/>
              </w:rPr>
            </w:r>
          </w:p>
          <w:p w14:paraId="0AE83780">
            <w:pPr>
              <w:pBdr/>
              <w:spacing/>
              <w:ind/>
              <w:rPr>
                <w:rFonts w:ascii="Gentium" w:hAnsi="Gentium" w:cs="Gentium"/>
                <w:sz w:val="22"/>
                <w:szCs w:val="22"/>
                <w:highlight w:val="none"/>
                <w:lang w:val="ro-RO"/>
              </w:rPr>
            </w:pPr>
            <w:r>
              <w:rPr>
                <w:rFonts w:ascii="Gentium" w:hAnsi="Gentium" w:cs="Gentium"/>
                <w:sz w:val="22"/>
                <w:szCs w:val="22"/>
                <w:lang w:val="en-US"/>
              </w:rPr>
              <w:t xml:space="preserve">Caracterul specific </w:t>
            </w:r>
            <w:r>
              <w:rPr>
                <w:rFonts w:ascii="Gentium" w:hAnsi="Gentium" w:cs="Gentium"/>
                <w:sz w:val="22"/>
                <w:szCs w:val="22"/>
                <w:lang w:val="ro-RO"/>
              </w:rPr>
              <w:t xml:space="preserve">și conținutul cursului. Diferențe și domenii comune cu cursul de Pedagogie parentală (S. Bâlc, an2, sem.1) și Familia în teologia creștină (T. Rusu, an2, sem.1) sau Lucrarea cu familiile din Biserică (T. Rusu, an1, sem.1). Scopuri, metode, caracter progresiv, relație. Familia ca mediu de prietenie si relatie, de evanghelizare si educație, de călăuzire spirituală.</w:t>
            </w:r>
            <w:r>
              <w:rPr>
                <w:rFonts w:ascii="Gentium" w:hAnsi="Gentium" w:cs="Gentium"/>
                <w:sz w:val="22"/>
                <w:szCs w:val="22"/>
              </w:rPr>
            </w:r>
          </w:p>
          <w:p w14:paraId="57821A91">
            <w:pPr>
              <w:pBdr/>
              <w:spacing/>
              <w:ind/>
              <w:rPr>
                <w:rFonts w:ascii="Gentium" w:hAnsi="Gentium" w:cs="Gentium"/>
                <w:sz w:val="22"/>
                <w:szCs w:val="22"/>
              </w:rPr>
            </w:pPr>
            <w:r>
              <w:rPr>
                <w:rFonts w:ascii="Gentium" w:hAnsi="Gentium" w:cs="Gentium"/>
                <w:sz w:val="22"/>
                <w:szCs w:val="22"/>
              </w:rPr>
            </w:r>
            <w:r>
              <w:rPr>
                <w:rFonts w:ascii="Gentium" w:hAnsi="Gentium" w:cs="Gentium"/>
                <w:sz w:val="22"/>
                <w:szCs w:val="22"/>
              </w:rPr>
            </w:r>
            <w:r>
              <w:rPr>
                <w:rFonts w:ascii="Gentium" w:hAnsi="Gentium" w:cs="Gentium"/>
                <w:sz w:val="22"/>
                <w:szCs w:val="22"/>
              </w:rPr>
            </w:r>
          </w:p>
          <w:p w14:paraId="5055E9CE">
            <w:pPr>
              <w:pBdr/>
              <w:spacing/>
              <w:ind/>
              <w:rPr>
                <w:rFonts w:ascii="Gentium" w:hAnsi="Gentium" w:eastAsia="Gentium" w:cs="Gentium"/>
                <w:sz w:val="22"/>
                <w:szCs w:val="22"/>
                <w:highlight w:val="none"/>
                <w:lang w:val="ro-RO"/>
              </w:rPr>
            </w:pPr>
            <w:r>
              <w:rPr>
                <w:rFonts w:ascii="Gentium" w:hAnsi="Gentium" w:eastAsia="Gentium" w:cs="Gentium"/>
                <w:sz w:val="22"/>
                <w:szCs w:val="22"/>
                <w:highlight w:val="none"/>
                <w:lang w:val="ro-RO"/>
              </w:rPr>
              <w:t xml:space="preserve">Repere de a</w:t>
            </w:r>
            <w:r>
              <w:rPr>
                <w:rFonts w:ascii="Gentium" w:hAnsi="Gentium" w:eastAsia="Gentium" w:cs="Gentium"/>
                <w:sz w:val="22"/>
                <w:szCs w:val="22"/>
                <w:highlight w:val="none"/>
                <w:lang w:val="en-US"/>
              </w:rPr>
              <w:t xml:space="preserve">ntropologie evolu</w:t>
            </w:r>
            <w:r>
              <w:rPr>
                <w:rFonts w:ascii="Gentium" w:hAnsi="Gentium" w:eastAsia="Gentium" w:cs="Gentium"/>
                <w:sz w:val="22"/>
                <w:szCs w:val="22"/>
                <w:highlight w:val="none"/>
                <w:lang w:val="ro-RO"/>
              </w:rPr>
              <w:t xml:space="preserve">ționistă versus antropologie creștină. Cum s</w:t>
            </w:r>
            <w:r>
              <w:rPr>
                <w:rFonts w:ascii="Gentium" w:hAnsi="Gentium" w:eastAsia="Gentium" w:cs="Gentium"/>
                <w:sz w:val="22"/>
                <w:szCs w:val="22"/>
                <w:highlight w:val="none"/>
                <w:lang w:val="ro-RO"/>
              </w:rPr>
              <w:t xml:space="preserve">e definește familie și cum participă ea la viața societății. Familia și educația în familie (în general și în contextul familiei creștine). Vârstele educației și dezvoltării. Echilibrul educării în familie, în biserică, în comunitatea locală, în societate.</w:t>
            </w:r>
            <w:r>
              <w:rPr>
                <w:rFonts w:ascii="Gentium" w:hAnsi="Gentium" w:cs="Gentium"/>
                <w:sz w:val="22"/>
                <w:szCs w:val="22"/>
              </w:rPr>
            </w:r>
          </w:p>
          <w:p w14:paraId="23FB81B8">
            <w:pPr>
              <w:pBdr/>
              <w:spacing/>
              <w:ind/>
              <w:rPr>
                <w:rFonts w:ascii="Gentium" w:hAnsi="Gentium" w:cs="Gentium"/>
                <w:sz w:val="22"/>
                <w:szCs w:val="22"/>
              </w:rPr>
            </w:pPr>
            <w:r>
              <w:rPr>
                <w:rFonts w:ascii="Gentium" w:hAnsi="Gentium" w:cs="Gentium"/>
                <w:sz w:val="22"/>
                <w:szCs w:val="22"/>
              </w:rPr>
            </w:r>
            <w:r>
              <w:rPr>
                <w:rFonts w:ascii="Gentium" w:hAnsi="Gentium" w:cs="Gentium"/>
                <w:sz w:val="22"/>
                <w:szCs w:val="22"/>
              </w:rPr>
            </w:r>
            <w:r>
              <w:rPr>
                <w:rFonts w:ascii="Gentium" w:hAnsi="Gentium" w:cs="Gentium"/>
                <w:sz w:val="22"/>
                <w:szCs w:val="22"/>
              </w:rPr>
            </w:r>
          </w:p>
          <w:p w14:paraId="6D7CDBEA">
            <w:pPr>
              <w:pBdr/>
              <w:spacing/>
              <w:ind/>
              <w:rPr>
                <w:rFonts w:ascii="Gentium" w:hAnsi="Gentium" w:cs="Gentium"/>
                <w:sz w:val="22"/>
                <w:szCs w:val="22"/>
              </w:rPr>
            </w:pPr>
            <w:r>
              <w:rPr>
                <w:rFonts w:ascii="Gentium" w:hAnsi="Gentium" w:eastAsia="Gentium" w:cs="Gentium"/>
                <w:sz w:val="22"/>
                <w:szCs w:val="22"/>
                <w:highlight w:val="none"/>
                <w:lang w:val="ro-RO"/>
              </w:rPr>
              <w:t xml:space="preserve">Vârstele și pedagogia copilului.</w:t>
            </w:r>
            <w:r>
              <w:rPr>
                <w:rFonts w:ascii="Gentium" w:hAnsi="Gentium" w:eastAsia="Gentium" w:cs="Gentium"/>
                <w:sz w:val="22"/>
                <w:szCs w:val="22"/>
                <w:highlight w:val="none"/>
                <w:lang w:val="ro-RO"/>
              </w:rPr>
            </w:r>
            <w:r>
              <w:rPr>
                <w:rFonts w:ascii="Gentium" w:hAnsi="Gentium" w:eastAsia="Gentium" w:cs="Gentium"/>
                <w:sz w:val="22"/>
                <w:szCs w:val="22"/>
                <w:highlight w:val="none"/>
                <w:lang w:val="ro-RO"/>
              </w:rPr>
            </w:r>
          </w:p>
        </w:tc>
        <w:tc>
          <w:tcPr>
            <w:shd w:val="clear" w:color="ffffff" w:fill="ffffff"/>
            <w:tcBorders/>
            <w:tcW w:w="2951" w:type="dxa"/>
            <w:textDirection w:val="lrTb"/>
            <w:noWrap w:val="false"/>
          </w:tcPr>
          <w:p>
            <w:pPr>
              <w:pBdr/>
              <w:spacing/>
              <w:ind/>
              <w:rPr>
                <w:rFonts w:ascii="Gentium" w:hAnsi="Gentium" w:eastAsia="Gentium" w:cs="Gentium"/>
                <w:sz w:val="22"/>
                <w:szCs w:val="22"/>
                <w:highlight w:val="none"/>
              </w:rPr>
            </w:pPr>
            <w:r>
              <w:rPr>
                <w:rFonts w:ascii="Gentium" w:hAnsi="Gentium" w:eastAsia="Gentium" w:cs="Gentium"/>
                <w:sz w:val="22"/>
                <w:szCs w:val="22"/>
              </w:rPr>
              <w:t xml:space="preserve">Expunere, prezentare</w:t>
            </w:r>
            <w:r>
              <w:rPr>
                <w:rFonts w:ascii="Gentium" w:hAnsi="Gentium" w:cs="Gentium"/>
                <w:sz w:val="22"/>
                <w:szCs w:val="22"/>
              </w:rPr>
            </w:r>
          </w:p>
          <w:p w14:paraId="7D7F88DB">
            <w:pPr>
              <w:pBdr/>
              <w:spacing/>
              <w:ind/>
              <w:rPr>
                <w:rFonts w:ascii="Gentium" w:hAnsi="Gentium" w:cs="Gentium"/>
                <w:sz w:val="22"/>
                <w:szCs w:val="22"/>
              </w:rPr>
            </w:pPr>
            <w:r>
              <w:rPr>
                <w:rFonts w:ascii="Gentium" w:hAnsi="Gentium" w:cs="Gentium"/>
                <w:sz w:val="22"/>
                <w:szCs w:val="22"/>
                <w:highlight w:val="none"/>
              </w:rPr>
            </w:r>
            <w:r>
              <w:rPr>
                <w:rFonts w:ascii="Gentium" w:hAnsi="Gentium" w:cs="Gentium"/>
                <w:sz w:val="22"/>
                <w:szCs w:val="22"/>
                <w:highlight w:val="none"/>
              </w:rPr>
            </w:r>
            <w:r>
              <w:rPr>
                <w:rFonts w:ascii="Gentium" w:hAnsi="Gentium" w:cs="Gentium"/>
                <w:sz w:val="22"/>
                <w:szCs w:val="22"/>
                <w:highlight w:val="none"/>
              </w:rPr>
            </w:r>
          </w:p>
          <w:p w14:paraId="1AA7CF55">
            <w:pPr>
              <w:pBdr/>
              <w:spacing/>
              <w:ind/>
              <w:rPr>
                <w:rFonts w:ascii="Gentium" w:hAnsi="Gentium" w:cs="Gentium"/>
                <w:sz w:val="22"/>
                <w:szCs w:val="22"/>
                <w:highlight w:val="none"/>
              </w:rPr>
            </w:pPr>
            <w:r>
              <w:rPr>
                <w:rFonts w:ascii="Gentium" w:hAnsi="Gentium" w:cs="Gentium"/>
                <w:sz w:val="22"/>
                <w:szCs w:val="22"/>
              </w:rPr>
            </w:r>
            <w:r>
              <w:rPr>
                <w:rFonts w:ascii="Gentium" w:hAnsi="Gentium" w:cs="Gentium"/>
                <w:sz w:val="22"/>
                <w:szCs w:val="22"/>
              </w:rPr>
              <w:t xml:space="preserve">Bibliografie:</w:t>
            </w:r>
            <w:r>
              <w:rPr>
                <w:rFonts w:ascii="Gentium" w:hAnsi="Gentium" w:cs="Gentium"/>
                <w:sz w:val="22"/>
                <w:szCs w:val="22"/>
                <w:highlight w:val="none"/>
              </w:rPr>
            </w:r>
          </w:p>
          <w:p w14:paraId="10FA1A2F">
            <w:pPr>
              <w:pBdr/>
              <w:spacing/>
              <w:ind/>
              <w:rPr>
                <w:rFonts w:ascii="Gentium" w:hAnsi="Gentium" w:cs="Gentium"/>
                <w:sz w:val="22"/>
                <w:szCs w:val="22"/>
                <w:highlight w:val="none"/>
              </w:rPr>
            </w:pPr>
            <w:r>
              <w:rPr>
                <w:rFonts w:ascii="Gentium" w:hAnsi="Gentium" w:cs="Gentium"/>
                <w:sz w:val="22"/>
                <w:szCs w:val="22"/>
                <w:highlight w:val="none"/>
              </w:rPr>
            </w:r>
            <w:r>
              <w:rPr>
                <w:rFonts w:ascii="Gentium" w:hAnsi="Gentium" w:cs="Gentium"/>
                <w:sz w:val="22"/>
                <w:szCs w:val="22"/>
                <w:highlight w:val="none"/>
              </w:rPr>
            </w:r>
            <w:r>
              <w:rPr>
                <w:rFonts w:ascii="Gentium" w:hAnsi="Gentium" w:cs="Gentium"/>
                <w:sz w:val="22"/>
                <w:szCs w:val="22"/>
                <w:highlight w:val="none"/>
              </w:rPr>
            </w:r>
          </w:p>
          <w:p w14:paraId="5B46F9FB">
            <w:pPr>
              <w:pBdr>
                <w:top w:val="none" w:color="000000" w:sz="4" w:space="0"/>
                <w:left w:val="none" w:color="000000" w:sz="4" w:space="0"/>
                <w:bottom w:val="none" w:color="000000" w:sz="4" w:space="0"/>
                <w:right w:val="none" w:color="000000" w:sz="4" w:space="0"/>
              </w:pBdr>
              <w:shd w:val="clear" w:color="b0e3b3" w:fill="b0e3b3"/>
              <w:spacing/>
              <w:ind w:right="0" w:firstLine="0" w:left="0"/>
              <w:rPr>
                <w:sz w:val="20"/>
                <w:szCs w:val="20"/>
                <w:highlight w:val="none"/>
              </w:rPr>
            </w:pPr>
            <w:r>
              <w:rPr>
                <w:sz w:val="20"/>
                <w:szCs w:val="20"/>
              </w:rPr>
            </w:r>
            <w:hyperlink r:id="rId16" w:tooltip="https://obinfonet.ro/docs/nt-teofam/teofam-res/specific/Austin-Rethinking%20parenthood.pdf" w:history="1">
              <w:r>
                <w:rPr>
                  <w:rStyle w:val="1131"/>
                  <w:rFonts w:ascii="Times New Roman" w:hAnsi="Times New Roman" w:eastAsia="Times New Roman" w:cs="Times New Roman"/>
                  <w:color w:val="0000ee"/>
                  <w:sz w:val="20"/>
                  <w:szCs w:val="20"/>
                  <w:highlight w:val="none"/>
                  <w:u w:val="single"/>
                </w:rPr>
                <w:t xml:space="preserve">Austin, </w:t>
              </w:r>
              <w:r>
                <w:rPr>
                  <w:rStyle w:val="1131"/>
                  <w:rFonts w:ascii="Times New Roman" w:hAnsi="Times New Roman" w:eastAsia="Times New Roman" w:cs="Times New Roman"/>
                  <w:i/>
                  <w:color w:val="0000ee"/>
                  <w:sz w:val="20"/>
                  <w:szCs w:val="20"/>
                  <w:highlight w:val="none"/>
                  <w:u w:val="none"/>
                </w:rPr>
                <w:t xml:space="preserve">Rethinking parenthood</w:t>
              </w:r>
            </w:hyperlink>
            <w:r>
              <w:rPr>
                <w:sz w:val="20"/>
                <w:szCs w:val="20"/>
              </w:rPr>
            </w:r>
            <w:r>
              <w:rPr>
                <w:rFonts w:ascii="Times New Roman" w:hAnsi="Times New Roman" w:eastAsia="Times New Roman" w:cs="Times New Roman"/>
                <w:sz w:val="20"/>
                <w:szCs w:val="20"/>
              </w:rPr>
            </w:r>
          </w:p>
          <w:p w14:paraId="792382E5">
            <w:pPr>
              <w:pBdr>
                <w:top w:val="none" w:color="000000" w:sz="4" w:space="0"/>
                <w:left w:val="none" w:color="000000" w:sz="4" w:space="0"/>
                <w:bottom w:val="none" w:color="000000" w:sz="4" w:space="0"/>
                <w:right w:val="none" w:color="000000" w:sz="4" w:space="0"/>
              </w:pBdr>
              <w:shd w:val="clear" w:color="b0e3b3" w:fill="b0e3b3"/>
              <w:spacing/>
              <w:ind w:right="0" w:firstLine="0" w:left="0"/>
              <w:rPr>
                <w:rFonts w:ascii="Times New Roman" w:hAnsi="Times New Roman" w:eastAsia="Times New Roman" w:cs="Times New Roman"/>
                <w:sz w:val="20"/>
                <w:szCs w:val="20"/>
              </w:rPr>
            </w:pPr>
            <w:r>
              <w:rPr>
                <w:sz w:val="20"/>
                <w:szCs w:val="20"/>
                <w:highlight w:val="none"/>
              </w:rPr>
            </w:r>
            <w:r>
              <w:rPr>
                <w:sz w:val="20"/>
                <w:szCs w:val="20"/>
                <w:highlight w:val="none"/>
              </w:rPr>
            </w:r>
            <w:r>
              <w:rPr>
                <w:sz w:val="20"/>
                <w:szCs w:val="20"/>
                <w:highlight w:val="none"/>
              </w:rPr>
            </w:r>
          </w:p>
          <w:p w14:paraId="50E2B7EE">
            <w:pPr>
              <w:pBdr>
                <w:top w:val="none" w:color="000000" w:sz="4" w:space="0"/>
                <w:left w:val="none" w:color="000000" w:sz="4" w:space="0"/>
                <w:bottom w:val="none" w:color="000000" w:sz="4" w:space="0"/>
                <w:right w:val="none" w:color="000000" w:sz="4" w:space="0"/>
              </w:pBdr>
              <w:shd w:val="clear" w:color="b0e3b3" w:fill="b0e3b3"/>
              <w:spacing/>
              <w:ind w:right="0" w:firstLine="0" w:left="0"/>
              <w:rPr>
                <w:sz w:val="20"/>
                <w:szCs w:val="20"/>
                <w:highlight w:val="none"/>
              </w:rPr>
            </w:pPr>
            <w:r>
              <w:rPr>
                <w:sz w:val="20"/>
                <w:szCs w:val="20"/>
              </w:rPr>
            </w:r>
            <w:hyperlink r:id="rId17" w:tooltip="https://obinfonet.ro/docs/nt-teofam/teofam-res/specific/Chia-Religious%20education%20at%20home%20parents%20as%20disciple-makers%20to%20their%20youths.pdf" w:history="1">
              <w:r>
                <w:rPr>
                  <w:rStyle w:val="1131"/>
                  <w:rFonts w:ascii="Times New Roman" w:hAnsi="Times New Roman" w:eastAsia="Times New Roman" w:cs="Times New Roman"/>
                  <w:color w:val="0000ee"/>
                  <w:sz w:val="20"/>
                  <w:szCs w:val="20"/>
                  <w:highlight w:val="none"/>
                  <w:u w:val="single"/>
                </w:rPr>
                <w:t xml:space="preserve">Chia, </w:t>
              </w:r>
              <w:r>
                <w:rPr>
                  <w:rStyle w:val="1131"/>
                  <w:rFonts w:ascii="Times New Roman" w:hAnsi="Times New Roman" w:eastAsia="Times New Roman" w:cs="Times New Roman"/>
                  <w:i/>
                  <w:color w:val="0000ee"/>
                  <w:sz w:val="20"/>
                  <w:szCs w:val="20"/>
                  <w:highlight w:val="none"/>
                  <w:u w:val="none"/>
                </w:rPr>
                <w:t xml:space="preserve">Religious education at home, parents as disciple-makers</w:t>
              </w:r>
            </w:hyperlink>
            <w:r>
              <w:rPr>
                <w:sz w:val="20"/>
                <w:szCs w:val="20"/>
              </w:rPr>
            </w:r>
            <w:r>
              <w:rPr>
                <w:rFonts w:ascii="Times New Roman" w:hAnsi="Times New Roman" w:eastAsia="Times New Roman" w:cs="Times New Roman"/>
                <w:sz w:val="20"/>
                <w:szCs w:val="20"/>
              </w:rPr>
            </w:r>
          </w:p>
          <w:p w14:paraId="3938EEAA">
            <w:pPr>
              <w:pBdr>
                <w:top w:val="none" w:color="000000" w:sz="4" w:space="0"/>
                <w:left w:val="none" w:color="000000" w:sz="4" w:space="0"/>
                <w:bottom w:val="none" w:color="000000" w:sz="4" w:space="0"/>
                <w:right w:val="none" w:color="000000" w:sz="4" w:space="0"/>
              </w:pBdr>
              <w:shd w:val="clear" w:color="b0e3b3" w:fill="b0e3b3"/>
              <w:spacing/>
              <w:ind w:right="0" w:firstLine="0" w:left="0"/>
              <w:rPr>
                <w:rFonts w:ascii="Times New Roman" w:hAnsi="Times New Roman" w:eastAsia="Times New Roman" w:cs="Times New Roman"/>
                <w:sz w:val="20"/>
                <w:szCs w:val="20"/>
              </w:rPr>
            </w:pPr>
            <w:r>
              <w:rPr>
                <w:rFonts w:ascii="Times New Roman" w:hAnsi="Times New Roman" w:eastAsia="Times New Roman" w:cs="Times New Roman"/>
                <w:sz w:val="20"/>
                <w:szCs w:val="20"/>
              </w:rPr>
            </w:r>
            <w:r>
              <w:rPr>
                <w:rFonts w:ascii="Times New Roman" w:hAnsi="Times New Roman" w:eastAsia="Times New Roman" w:cs="Times New Roman"/>
                <w:sz w:val="20"/>
                <w:szCs w:val="20"/>
              </w:rPr>
            </w:r>
            <w:r>
              <w:rPr>
                <w:rFonts w:ascii="Times New Roman" w:hAnsi="Times New Roman" w:eastAsia="Times New Roman" w:cs="Times New Roman"/>
                <w:sz w:val="20"/>
                <w:szCs w:val="20"/>
              </w:rPr>
            </w:r>
          </w:p>
          <w:p w14:paraId="6BF30D8F">
            <w:pPr>
              <w:pBdr>
                <w:top w:val="none" w:color="000000" w:sz="4" w:space="0"/>
                <w:left w:val="none" w:color="000000" w:sz="4" w:space="0"/>
                <w:bottom w:val="none" w:color="000000" w:sz="4" w:space="0"/>
                <w:right w:val="none" w:color="000000" w:sz="4" w:space="0"/>
              </w:pBdr>
              <w:shd w:val="clear" w:color="b0e3b3" w:fill="b0e3b3"/>
              <w:spacing/>
              <w:ind w:right="0" w:firstLine="0" w:left="0"/>
              <w:rPr>
                <w:sz w:val="20"/>
                <w:szCs w:val="20"/>
                <w:highlight w:val="none"/>
              </w:rPr>
            </w:pPr>
            <w:r>
              <w:rPr>
                <w:sz w:val="20"/>
                <w:szCs w:val="20"/>
              </w:rPr>
            </w:r>
            <w:hyperlink r:id="rId18" w:tooltip="https://obinfonet.ro/docs/nt-teofam/teofam-res/specific/The%20family%20in%20theological%20perspective%20(Barton,%20Stephen%20C).pdf" w:history="1">
              <w:r>
                <w:rPr>
                  <w:rStyle w:val="1131"/>
                  <w:rFonts w:ascii="Times New Roman" w:hAnsi="Times New Roman" w:eastAsia="Times New Roman" w:cs="Times New Roman"/>
                  <w:color w:val="0000ee"/>
                  <w:sz w:val="20"/>
                  <w:szCs w:val="20"/>
                  <w:highlight w:val="none"/>
                  <w:u w:val="single"/>
                </w:rPr>
                <w:t xml:space="preserve">Barton, </w:t>
              </w:r>
              <w:r>
                <w:rPr>
                  <w:rStyle w:val="1131"/>
                  <w:rFonts w:ascii="Times New Roman" w:hAnsi="Times New Roman" w:eastAsia="Times New Roman" w:cs="Times New Roman"/>
                  <w:i/>
                  <w:color w:val="0000ee"/>
                  <w:sz w:val="20"/>
                  <w:szCs w:val="20"/>
                  <w:highlight w:val="none"/>
                  <w:u w:val="none"/>
                </w:rPr>
                <w:t xml:space="preserve">The Family in Theological Perspective</w:t>
              </w:r>
            </w:hyperlink>
            <w:r>
              <w:rPr>
                <w:sz w:val="20"/>
                <w:szCs w:val="20"/>
              </w:rPr>
            </w:r>
            <w:r>
              <w:rPr>
                <w:rFonts w:ascii="Times New Roman" w:hAnsi="Times New Roman" w:eastAsia="Times New Roman" w:cs="Times New Roman"/>
                <w:sz w:val="20"/>
                <w:szCs w:val="20"/>
              </w:rPr>
            </w:r>
          </w:p>
          <w:p w14:paraId="7A90E995">
            <w:pPr>
              <w:pBdr>
                <w:top w:val="none" w:color="000000" w:sz="4" w:space="0"/>
                <w:left w:val="none" w:color="000000" w:sz="4" w:space="0"/>
                <w:bottom w:val="none" w:color="000000" w:sz="4" w:space="0"/>
                <w:right w:val="none" w:color="000000" w:sz="4" w:space="0"/>
              </w:pBdr>
              <w:shd w:val="clear" w:color="b0e3b3" w:fill="b0e3b3"/>
              <w:spacing/>
              <w:ind w:right="0" w:firstLine="0" w:left="0"/>
              <w:rPr>
                <w:rFonts w:ascii="Times New Roman" w:hAnsi="Times New Roman" w:eastAsia="Times New Roman" w:cs="Times New Roman"/>
                <w:sz w:val="20"/>
                <w:szCs w:val="20"/>
              </w:rPr>
            </w:pPr>
            <w:r>
              <w:rPr>
                <w:sz w:val="20"/>
                <w:szCs w:val="20"/>
                <w:highlight w:val="none"/>
              </w:rPr>
            </w:r>
            <w:r>
              <w:rPr>
                <w:sz w:val="20"/>
                <w:szCs w:val="20"/>
                <w:highlight w:val="none"/>
              </w:rPr>
            </w:r>
            <w:r>
              <w:rPr>
                <w:sz w:val="20"/>
                <w:szCs w:val="20"/>
                <w:highlight w:val="none"/>
              </w:rPr>
            </w:r>
          </w:p>
          <w:p w14:paraId="52125201">
            <w:pPr>
              <w:pBdr>
                <w:top w:val="none" w:color="000000" w:sz="4" w:space="0"/>
                <w:left w:val="none" w:color="000000" w:sz="4" w:space="0"/>
                <w:bottom w:val="none" w:color="000000" w:sz="4" w:space="0"/>
                <w:right w:val="none" w:color="000000" w:sz="4" w:space="0"/>
              </w:pBdr>
              <w:shd w:val="clear" w:color="b0e3b3" w:fill="b0e3b3"/>
              <w:spacing/>
              <w:ind w:right="0" w:firstLine="0" w:left="0"/>
              <w:rPr>
                <w:sz w:val="20"/>
                <w:szCs w:val="20"/>
                <w:highlight w:val="none"/>
              </w:rPr>
            </w:pPr>
            <w:r>
              <w:rPr>
                <w:sz w:val="20"/>
                <w:szCs w:val="20"/>
              </w:rPr>
            </w:r>
            <w:hyperlink r:id="rId19" w:tooltip="https://obinfonet.ro/docs/nt-teofam/teofam-res/specific/The%20Spiritual%20Life%20of%20Children%20(Robert%20Coles).pdf" w:history="1">
              <w:r>
                <w:rPr>
                  <w:rStyle w:val="1131"/>
                  <w:rFonts w:ascii="Times New Roman" w:hAnsi="Times New Roman" w:eastAsia="Times New Roman" w:cs="Times New Roman"/>
                  <w:color w:val="0000ee"/>
                  <w:sz w:val="20"/>
                  <w:szCs w:val="20"/>
                  <w:highlight w:val="none"/>
                  <w:u w:val="single"/>
                </w:rPr>
                <w:t xml:space="preserve">Coles, </w:t>
              </w:r>
              <w:r>
                <w:rPr>
                  <w:rStyle w:val="1131"/>
                  <w:rFonts w:ascii="Times New Roman" w:hAnsi="Times New Roman" w:eastAsia="Times New Roman" w:cs="Times New Roman"/>
                  <w:i/>
                  <w:color w:val="0000ee"/>
                  <w:sz w:val="20"/>
                  <w:szCs w:val="20"/>
                  <w:highlight w:val="none"/>
                  <w:u w:val="none"/>
                </w:rPr>
                <w:t xml:space="preserve">The Spiritual Life of Children</w:t>
              </w:r>
            </w:hyperlink>
            <w:r>
              <w:rPr>
                <w:sz w:val="20"/>
                <w:szCs w:val="20"/>
              </w:rPr>
            </w:r>
            <w:r>
              <w:rPr>
                <w:rFonts w:ascii="Times New Roman" w:hAnsi="Times New Roman" w:eastAsia="Times New Roman" w:cs="Times New Roman"/>
                <w:sz w:val="20"/>
                <w:szCs w:val="20"/>
              </w:rPr>
            </w:r>
          </w:p>
          <w:p w14:paraId="73195FD7">
            <w:pPr>
              <w:pBdr>
                <w:top w:val="none" w:color="000000" w:sz="4" w:space="0"/>
                <w:left w:val="none" w:color="000000" w:sz="4" w:space="0"/>
                <w:bottom w:val="none" w:color="000000" w:sz="4" w:space="0"/>
                <w:right w:val="none" w:color="000000" w:sz="4" w:space="0"/>
              </w:pBdr>
              <w:shd w:val="clear" w:color="b0e3b3" w:fill="b0e3b3"/>
              <w:spacing/>
              <w:ind w:right="0" w:firstLine="0" w:left="0"/>
              <w:rPr>
                <w:rFonts w:ascii="Times New Roman" w:hAnsi="Times New Roman" w:eastAsia="Times New Roman" w:cs="Times New Roman"/>
                <w:sz w:val="20"/>
                <w:szCs w:val="20"/>
              </w:rPr>
            </w:pPr>
            <w:r>
              <w:rPr>
                <w:sz w:val="20"/>
                <w:szCs w:val="20"/>
                <w:highlight w:val="none"/>
              </w:rPr>
            </w:r>
            <w:r>
              <w:rPr>
                <w:sz w:val="20"/>
                <w:szCs w:val="20"/>
                <w:highlight w:val="none"/>
              </w:rPr>
            </w:r>
            <w:r>
              <w:rPr>
                <w:sz w:val="20"/>
                <w:szCs w:val="20"/>
                <w:highlight w:val="none"/>
              </w:rPr>
            </w:r>
          </w:p>
          <w:p w14:paraId="1562E779">
            <w:pPr>
              <w:pBdr>
                <w:top w:val="none" w:color="000000" w:sz="4" w:space="0"/>
                <w:left w:val="none" w:color="000000" w:sz="4" w:space="0"/>
                <w:bottom w:val="none" w:color="000000" w:sz="4" w:space="0"/>
                <w:right w:val="none" w:color="000000" w:sz="4" w:space="0"/>
              </w:pBdr>
              <w:shd w:val="clear" w:color="b0e3b3" w:fill="b0e3b3"/>
              <w:spacing/>
              <w:ind w:right="0" w:firstLine="0" w:left="0"/>
              <w:rPr>
                <w:sz w:val="20"/>
                <w:szCs w:val="20"/>
                <w:highlight w:val="none"/>
              </w:rPr>
            </w:pPr>
            <w:r>
              <w:rPr>
                <w:sz w:val="20"/>
                <w:szCs w:val="20"/>
              </w:rPr>
            </w:r>
            <w:hyperlink r:id="rId20" w:tooltip="https://obinfonet.ro/docs/nt-teofam/teofam-res/specific/Spiritual%20Conversations%20with%20Children%20(Lacy%20Finn%20Borgo).pdf" w:history="1">
              <w:r>
                <w:rPr>
                  <w:rStyle w:val="1131"/>
                  <w:rFonts w:ascii="Times New Roman" w:hAnsi="Times New Roman" w:eastAsia="Times New Roman" w:cs="Times New Roman"/>
                  <w:color w:val="0000ee"/>
                  <w:sz w:val="20"/>
                  <w:szCs w:val="20"/>
                  <w:highlight w:val="none"/>
                  <w:u w:val="single"/>
                </w:rPr>
                <w:t xml:space="preserve">Borgo, </w:t>
              </w:r>
              <w:r>
                <w:rPr>
                  <w:rStyle w:val="1131"/>
                  <w:rFonts w:ascii="Times New Roman" w:hAnsi="Times New Roman" w:eastAsia="Times New Roman" w:cs="Times New Roman"/>
                  <w:i/>
                  <w:color w:val="0000ee"/>
                  <w:sz w:val="20"/>
                  <w:szCs w:val="20"/>
                  <w:highlight w:val="none"/>
                  <w:u w:val="none"/>
                </w:rPr>
                <w:t xml:space="preserve">Spiritual Conversation with Children</w:t>
              </w:r>
            </w:hyperlink>
            <w:r>
              <w:rPr>
                <w:sz w:val="20"/>
                <w:szCs w:val="20"/>
                <w:highlight w:val="none"/>
              </w:rPr>
            </w:r>
            <w:r>
              <w:rPr>
                <w:sz w:val="20"/>
                <w:szCs w:val="20"/>
                <w:highlight w:val="none"/>
              </w:rPr>
            </w:r>
          </w:p>
          <w:p w14:paraId="59CAFE3D">
            <w:pPr>
              <w:pBdr>
                <w:top w:val="none" w:color="000000" w:sz="4" w:space="0"/>
                <w:left w:val="none" w:color="000000" w:sz="4" w:space="0"/>
                <w:bottom w:val="none" w:color="000000" w:sz="4" w:space="0"/>
                <w:right w:val="none" w:color="000000" w:sz="4" w:space="0"/>
              </w:pBdr>
              <w:shd w:val="clear" w:color="b0e3b3" w:fill="b0e3b3"/>
              <w:spacing/>
              <w:ind w:right="0" w:firstLine="0" w:left="0"/>
              <w:rPr>
                <w:sz w:val="20"/>
                <w:szCs w:val="20"/>
                <w:highlight w:val="none"/>
              </w:rPr>
            </w:pPr>
            <w:r>
              <w:rPr>
                <w:sz w:val="20"/>
                <w:szCs w:val="20"/>
                <w:highlight w:val="none"/>
              </w:rPr>
            </w:r>
            <w:r>
              <w:rPr>
                <w:sz w:val="20"/>
                <w:szCs w:val="20"/>
                <w:highlight w:val="none"/>
              </w:rPr>
            </w:r>
            <w:r>
              <w:rPr>
                <w:sz w:val="20"/>
                <w:szCs w:val="20"/>
                <w:highlight w:val="none"/>
              </w:rPr>
            </w:r>
          </w:p>
          <w:p w14:paraId="356165C4">
            <w:pPr>
              <w:pBdr>
                <w:top w:val="none" w:color="000000" w:sz="4" w:space="0"/>
                <w:left w:val="none" w:color="000000" w:sz="4" w:space="0"/>
                <w:bottom w:val="none" w:color="000000" w:sz="4" w:space="0"/>
                <w:right w:val="none" w:color="000000" w:sz="4" w:space="0"/>
              </w:pBdr>
              <w:shd w:val="clear" w:color="b0e3b3" w:fill="b0e3b3"/>
              <w:spacing/>
              <w:ind w:right="0" w:firstLine="0" w:left="0"/>
              <w:rPr>
                <w:sz w:val="20"/>
                <w:szCs w:val="20"/>
              </w:rPr>
            </w:pPr>
            <w:r>
              <w:rPr>
                <w:sz w:val="20"/>
                <w:szCs w:val="20"/>
              </w:rPr>
            </w:r>
            <w:hyperlink r:id="rId21" w:tooltip="https://obinfonet.ro/docs/nt-teofam/teofam-res/general/How%20the%20Bible%20Works%20An%20Anthropological%20Study%20of%20Evangelical%20Biblicism%20(Brian%20Malley).pdf" w:history="1">
              <w:r>
                <w:rPr>
                  <w:rStyle w:val="1131"/>
                  <w:rFonts w:ascii="Times New Roman" w:hAnsi="Times New Roman" w:eastAsia="Times New Roman" w:cs="Times New Roman"/>
                  <w:color w:val="0000ee"/>
                  <w:sz w:val="20"/>
                  <w:szCs w:val="20"/>
                  <w:highlight w:val="none"/>
                  <w:u w:val="single"/>
                </w:rPr>
                <w:t xml:space="preserve">Malley, </w:t>
              </w:r>
              <w:r>
                <w:rPr>
                  <w:rStyle w:val="1131"/>
                  <w:rFonts w:ascii="Times New Roman" w:hAnsi="Times New Roman" w:eastAsia="Times New Roman" w:cs="Times New Roman"/>
                  <w:i/>
                  <w:color w:val="0000ee"/>
                  <w:sz w:val="20"/>
                  <w:szCs w:val="20"/>
                  <w:highlight w:val="none"/>
                  <w:u w:val="none"/>
                </w:rPr>
                <w:t xml:space="preserve">Bible, Anthropology</w:t>
              </w:r>
            </w:hyperlink>
            <w:r>
              <w:rPr>
                <w:sz w:val="20"/>
                <w:szCs w:val="20"/>
              </w:rPr>
            </w:r>
            <w:r>
              <w:rPr>
                <w:sz w:val="20"/>
                <w:szCs w:val="20"/>
              </w:rPr>
            </w:r>
          </w:p>
          <w:p w14:paraId="3DE4F95C">
            <w:pPr>
              <w:pBdr>
                <w:top w:val="none" w:color="000000" w:sz="4" w:space="0"/>
                <w:left w:val="none" w:color="000000" w:sz="4" w:space="0"/>
                <w:bottom w:val="none" w:color="000000" w:sz="4" w:space="0"/>
                <w:right w:val="none" w:color="000000" w:sz="4" w:space="0"/>
              </w:pBdr>
              <w:shd w:val="clear" w:color="b0e3b3" w:fill="b0e3b3"/>
              <w:spacing/>
              <w:ind w:right="0" w:firstLine="0" w:left="0"/>
              <w:rPr>
                <w:rFonts w:ascii="Times New Roman" w:hAnsi="Times New Roman" w:eastAsia="Times New Roman" w:cs="Times New Roman"/>
                <w:sz w:val="20"/>
                <w:szCs w:val="20"/>
              </w:rPr>
            </w:pPr>
            <w:r>
              <w:rPr>
                <w:sz w:val="20"/>
                <w:szCs w:val="20"/>
                <w:highlight w:val="none"/>
              </w:rPr>
            </w:r>
            <w:r>
              <w:rPr>
                <w:sz w:val="20"/>
                <w:szCs w:val="20"/>
                <w:highlight w:val="none"/>
              </w:rPr>
            </w:r>
            <w:r>
              <w:rPr>
                <w:sz w:val="20"/>
                <w:szCs w:val="20"/>
                <w:highlight w:val="none"/>
              </w:rPr>
            </w:r>
          </w:p>
          <w:p w14:paraId="0D0A4338">
            <w:pPr>
              <w:pBdr>
                <w:top w:val="none" w:color="000000" w:sz="4" w:space="0"/>
                <w:left w:val="none" w:color="000000" w:sz="4" w:space="0"/>
                <w:bottom w:val="none" w:color="000000" w:sz="4" w:space="0"/>
                <w:right w:val="none" w:color="000000" w:sz="4" w:space="0"/>
              </w:pBdr>
              <w:shd w:val="clear" w:color="b0e3b3" w:fill="b0e3b3"/>
              <w:spacing/>
              <w:ind w:right="0" w:firstLine="0" w:left="0"/>
              <w:rPr>
                <w:sz w:val="20"/>
                <w:szCs w:val="20"/>
                <w:highlight w:val="none"/>
              </w:rPr>
            </w:pPr>
            <w:r>
              <w:rPr>
                <w:sz w:val="20"/>
                <w:szCs w:val="20"/>
              </w:rPr>
            </w:r>
            <w:hyperlink r:id="rId22" w:tooltip="https://obinfonet.ro/docs/nt-teofam/teofam-res/general/Biblical%20and%20Theological%20Foundations%20of%20the%20Family%20The%20Domestic%20Church%20(Joseph%20C.%20Atkinson).pdf" w:history="1">
              <w:r>
                <w:rPr>
                  <w:rStyle w:val="1131"/>
                  <w:rFonts w:ascii="Times New Roman" w:hAnsi="Times New Roman" w:eastAsia="Times New Roman" w:cs="Times New Roman"/>
                  <w:color w:val="0000ee"/>
                  <w:sz w:val="20"/>
                  <w:szCs w:val="20"/>
                  <w:highlight w:val="none"/>
                  <w:u w:val="single"/>
                </w:rPr>
                <w:t xml:space="preserve">Atkinson, </w:t>
              </w:r>
              <w:r>
                <w:rPr>
                  <w:rStyle w:val="1131"/>
                  <w:rFonts w:ascii="Times New Roman" w:hAnsi="Times New Roman" w:eastAsia="Times New Roman" w:cs="Times New Roman"/>
                  <w:i/>
                  <w:color w:val="0000ee"/>
                  <w:sz w:val="20"/>
                  <w:szCs w:val="20"/>
                  <w:highlight w:val="none"/>
                  <w:u w:val="none"/>
                </w:rPr>
                <w:t xml:space="preserve">Biblical and Theological Foundations for Families</w:t>
              </w:r>
            </w:hyperlink>
            <w:r>
              <w:rPr>
                <w:sz w:val="20"/>
                <w:szCs w:val="20"/>
              </w:rPr>
            </w:r>
            <w:r>
              <w:rPr>
                <w:sz w:val="20"/>
                <w:szCs w:val="20"/>
              </w:rPr>
            </w:r>
          </w:p>
          <w:p w14:paraId="24786E5B">
            <w:pPr>
              <w:pBdr>
                <w:top w:val="none" w:color="000000" w:sz="4" w:space="0"/>
                <w:left w:val="none" w:color="000000" w:sz="4" w:space="0"/>
                <w:bottom w:val="none" w:color="000000" w:sz="4" w:space="0"/>
                <w:right w:val="none" w:color="000000" w:sz="4" w:space="0"/>
              </w:pBdr>
              <w:shd w:val="clear" w:color="b0e3b3" w:fill="b0e3b3"/>
              <w:spacing/>
              <w:ind w:right="0" w:firstLine="0" w:left="0"/>
              <w:rPr>
                <w:rFonts w:ascii="Times New Roman" w:hAnsi="Times New Roman" w:eastAsia="Times New Roman" w:cs="Times New Roman"/>
                <w:sz w:val="20"/>
                <w:szCs w:val="20"/>
              </w:rPr>
            </w:pPr>
            <w:r>
              <w:rPr>
                <w:sz w:val="20"/>
                <w:szCs w:val="20"/>
                <w:highlight w:val="none"/>
              </w:rPr>
            </w:r>
            <w:r>
              <w:rPr>
                <w:sz w:val="20"/>
                <w:szCs w:val="20"/>
                <w:highlight w:val="none"/>
              </w:rPr>
            </w:r>
            <w:r>
              <w:rPr>
                <w:sz w:val="20"/>
                <w:szCs w:val="20"/>
                <w:highlight w:val="none"/>
              </w:rPr>
            </w:r>
          </w:p>
          <w:p w14:paraId="139BC6BA">
            <w:pPr>
              <w:pBdr/>
              <w:spacing/>
              <w:ind/>
              <w:rPr>
                <w:rFonts w:ascii="Gentium" w:hAnsi="Gentium" w:cs="Gentium"/>
                <w:sz w:val="22"/>
                <w:szCs w:val="22"/>
              </w:rPr>
            </w:pPr>
            <w:r>
              <w:rPr>
                <w:rFonts w:ascii="Gentium" w:hAnsi="Gentium" w:eastAsia="Gentium" w:cs="Gentium"/>
                <w:sz w:val="20"/>
                <w:szCs w:val="20"/>
                <w:highlight w:val="none"/>
              </w:rPr>
            </w:r>
            <w:r>
              <w:rPr>
                <w:rFonts w:ascii="Gentium" w:hAnsi="Gentium" w:eastAsia="Gentium" w:cs="Gentium"/>
                <w:sz w:val="22"/>
                <w:szCs w:val="22"/>
                <w:highlight w:val="none"/>
              </w:rPr>
            </w:r>
            <w:r>
              <w:rPr>
                <w:rFonts w:ascii="Gentium" w:hAnsi="Gentium" w:eastAsia="Gentium" w:cs="Gentium"/>
                <w:sz w:val="22"/>
                <w:szCs w:val="22"/>
                <w:highlight w:val="none"/>
              </w:rPr>
            </w:r>
          </w:p>
        </w:tc>
        <w:tc>
          <w:tcPr>
            <w:shd w:val="clear" w:color="ffffff" w:fill="ffffff"/>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două ore fizice</w:t>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eastAsia="Gentium" w:cs="Gentium"/>
                <w:sz w:val="22"/>
                <w:szCs w:val="22"/>
                <w:highlight w:val="none"/>
              </w:rPr>
            </w:pPr>
            <w:r>
              <w:rPr>
                <w:rFonts w:ascii="Gentium" w:hAnsi="Gentium" w:eastAsia="Gentium" w:cs="Gentium"/>
                <w:sz w:val="22"/>
                <w:szCs w:val="22"/>
              </w:rPr>
              <w:t xml:space="preserve">2.Educația creștină în familie: definire, scopuri, metode, anvergură; funcționalitatea sau disfuncționalitatea familiei; relația cu educația de stat.</w:t>
            </w:r>
            <w:r>
              <w:rPr>
                <w:rFonts w:ascii="Gentium" w:hAnsi="Gentium" w:eastAsia="Gentium" w:cs="Gentium"/>
                <w:sz w:val="22"/>
                <w:szCs w:val="22"/>
              </w:rPr>
            </w:r>
            <w:r>
              <w:rPr>
                <w:rFonts w:ascii="Gentium" w:hAnsi="Gentium" w:eastAsia="Gentium" w:cs="Gentium"/>
                <w:sz w:val="22"/>
                <w:szCs w:val="22"/>
                <w:highlight w:val="none"/>
              </w:rPr>
            </w:r>
          </w:p>
          <w:p w14:paraId="7EF27E98">
            <w:pPr>
              <w:pBdr/>
              <w:spacing/>
              <w:ind/>
              <w:rPr>
                <w:rFonts w:ascii="Gentium" w:hAnsi="Gentium" w:eastAsia="Gentium" w:cs="Gentium"/>
                <w:sz w:val="22"/>
                <w:szCs w:val="22"/>
              </w:rPr>
            </w:pPr>
            <w:r>
              <w:rPr>
                <w:rFonts w:ascii="Gentium" w:hAnsi="Gentium" w:eastAsia="Gentium" w:cs="Gentium"/>
                <w:sz w:val="22"/>
                <w:szCs w:val="22"/>
              </w:rPr>
            </w:r>
            <w:r>
              <w:rPr>
                <w:rFonts w:ascii="Gentium" w:hAnsi="Gentium" w:eastAsia="Gentium" w:cs="Gentium"/>
                <w:sz w:val="22"/>
                <w:szCs w:val="22"/>
              </w:rPr>
            </w:r>
            <w:r>
              <w:rPr>
                <w:rFonts w:ascii="Gentium" w:hAnsi="Gentium" w:eastAsia="Gentium" w:cs="Gentium"/>
                <w:sz w:val="22"/>
                <w:szCs w:val="22"/>
              </w:rPr>
            </w:r>
          </w:p>
          <w:p w14:paraId="653CA3FB">
            <w:pPr>
              <w:pBdr/>
              <w:spacing/>
              <w:ind/>
              <w:rPr>
                <w:rFonts w:ascii="Gentium" w:hAnsi="Gentium" w:eastAsia="Gentium" w:cs="Gentium"/>
                <w:sz w:val="22"/>
                <w:szCs w:val="22"/>
              </w:rPr>
            </w:pPr>
            <w:r>
              <w:rPr>
                <w:rFonts w:ascii="Gentium" w:hAnsi="Gentium" w:eastAsia="Gentium" w:cs="Gentium"/>
                <w:sz w:val="22"/>
                <w:szCs w:val="22"/>
                <w:highlight w:val="none"/>
              </w:rPr>
              <w:t xml:space="preserve">Educația și formarea individuală: punerea în valoare a calităților native, creare de noi abilități și dezvoltarea abilităților native; comunicarea valorilor și standardelor etice. </w:t>
            </w:r>
            <w:r>
              <w:rPr>
                <w:rFonts w:ascii="Gentium" w:hAnsi="Gentium" w:eastAsia="Gentium" w:cs="Gentium"/>
                <w:sz w:val="22"/>
                <w:szCs w:val="22"/>
                <w:highlight w:val="none"/>
              </w:rPr>
            </w:r>
            <w:r>
              <w:rPr>
                <w:rFonts w:ascii="Gentium" w:hAnsi="Gentium" w:eastAsia="Gentium" w:cs="Gentium"/>
                <w:sz w:val="22"/>
                <w:szCs w:val="22"/>
              </w:rPr>
            </w:r>
          </w:p>
          <w:p w14:paraId="4F7C0A5B">
            <w:pPr>
              <w:pBdr/>
              <w:spacing/>
              <w:ind/>
              <w:rPr>
                <w:rFonts w:ascii="Gentium" w:hAnsi="Gentium" w:cs="Gentium"/>
                <w:sz w:val="22"/>
                <w:szCs w:val="22"/>
              </w:rPr>
            </w:pPr>
            <w:r>
              <w:rPr>
                <w:rFonts w:ascii="Gentium" w:hAnsi="Gentium" w:eastAsia="Gentium" w:cs="Gentium"/>
                <w:sz w:val="22"/>
                <w:szCs w:val="22"/>
              </w:rPr>
              <w:t xml:space="preserve"> </w:t>
            </w:r>
            <w:r>
              <w:rPr>
                <w:rFonts w:ascii="Gentium" w:hAnsi="Gentium" w:cs="Gentium"/>
                <w:sz w:val="22"/>
                <w:szCs w:val="22"/>
              </w:rPr>
            </w:r>
            <w:r>
              <w:rPr>
                <w:rFonts w:ascii="Gentium" w:hAnsi="Gentium" w:cs="Gentium"/>
                <w:sz w:val="22"/>
                <w:szCs w:val="22"/>
              </w:rPr>
            </w:r>
          </w:p>
        </w:tc>
        <w:tc>
          <w:tcPr>
            <w:shd w:val="clear" w:color="ffffff" w:fill="ffffff"/>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Expunere, prezentare</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shd w:val="clear" w:color="ffffff" w:fill="ffffff"/>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două ore fizice</w:t>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3.Identitatea creștină și profilul familiei și educație: teorii despre formarea personalității  </w:t>
            </w:r>
            <w:r>
              <w:rPr>
                <w:rFonts w:ascii="Gentium" w:hAnsi="Gentium" w:cs="Gentium"/>
                <w:sz w:val="22"/>
                <w:szCs w:val="22"/>
              </w:rPr>
            </w:r>
            <w:r>
              <w:rPr>
                <w:rFonts w:ascii="Gentium" w:hAnsi="Gentium" w:cs="Gentium"/>
                <w:sz w:val="22"/>
                <w:szCs w:val="22"/>
              </w:rPr>
            </w:r>
          </w:p>
        </w:tc>
        <w:tc>
          <w:tcPr>
            <w:shd w:val="clear" w:color="ffffff" w:fill="ffffff"/>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Expunere, prezentare</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shd w:val="clear" w:color="ffffff" w:fill="ffffff"/>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două ore fizice</w:t>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4.Identitate de gen și spiritualitatea crestină: date biologice, psihologice și sociale; descoperirea inclinațiilor vocaționale</w:t>
            </w:r>
            <w:r>
              <w:rPr>
                <w:rFonts w:ascii="Gentium" w:hAnsi="Gentium" w:cs="Gentium"/>
                <w:sz w:val="22"/>
                <w:szCs w:val="22"/>
              </w:rPr>
            </w:r>
            <w:r>
              <w:rPr>
                <w:rFonts w:ascii="Gentium" w:hAnsi="Gentium" w:cs="Gentium"/>
                <w:sz w:val="22"/>
                <w:szCs w:val="22"/>
              </w:rPr>
            </w:r>
          </w:p>
        </w:tc>
        <w:tc>
          <w:tcPr>
            <w:shd w:val="clear" w:color="ffffff" w:fill="ffffff"/>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Expunere, prezentare</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shd w:val="clear" w:color="ffffff" w:fill="ffffff"/>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două ore fizice</w:t>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5.Educația socială în familie creștină (roluri, ierarhii, relații): concepte, limbaje și integrare socială</w:t>
            </w:r>
            <w:r>
              <w:rPr>
                <w:rFonts w:ascii="Gentium" w:hAnsi="Gentium" w:cs="Gentium"/>
                <w:sz w:val="22"/>
                <w:szCs w:val="22"/>
              </w:rPr>
            </w:r>
            <w:r>
              <w:rPr>
                <w:rFonts w:ascii="Gentium" w:hAnsi="Gentium" w:cs="Gentium"/>
                <w:sz w:val="22"/>
                <w:szCs w:val="22"/>
              </w:rPr>
            </w:r>
          </w:p>
        </w:tc>
        <w:tc>
          <w:tcPr>
            <w:shd w:val="clear" w:color="ffffff" w:fill="ffffff"/>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Expunere, prezentare</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shd w:val="clear" w:color="ffffff" w:fill="ffffff"/>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două ore fizice</w:t>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14:paraId="1F38CF21">
            <w:pPr>
              <w:pBdr/>
              <w:spacing/>
              <w:ind/>
              <w:rPr>
                <w:rFonts w:ascii="Gentium" w:hAnsi="Gentium" w:cs="Gentium"/>
                <w:sz w:val="22"/>
                <w:szCs w:val="22"/>
              </w:rPr>
            </w:pPr>
            <w:r>
              <w:rPr>
                <w:rFonts w:ascii="Gentium" w:hAnsi="Gentium" w:eastAsia="Gentium" w:cs="Gentium"/>
                <w:sz w:val="22"/>
                <w:szCs w:val="22"/>
              </w:rPr>
              <w:t xml:space="preserve">6.VT: repere  și exigențe spirituale asupra familiei credincioase </w:t>
            </w:r>
            <w:r>
              <w:rPr>
                <w:rFonts w:ascii="Gentium" w:hAnsi="Gentium" w:cs="Gentium"/>
                <w:sz w:val="22"/>
                <w:szCs w:val="22"/>
              </w:rPr>
            </w:r>
            <w:r>
              <w:rPr>
                <w:rFonts w:ascii="Gentium" w:hAnsi="Gentium" w:cs="Gentium"/>
                <w:sz w:val="22"/>
                <w:szCs w:val="22"/>
              </w:rPr>
            </w:r>
          </w:p>
        </w:tc>
        <w:tc>
          <w:tcPr>
            <w:shd w:val="clear" w:color="ffffff" w:fill="ffffff"/>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Expunere, prezentare</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shd w:val="clear" w:color="ffffff" w:fill="ffffff"/>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două ore fizice</w:t>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14:paraId="20D1B0CA">
            <w:pPr>
              <w:pBdr/>
              <w:spacing/>
              <w:ind/>
              <w:rPr>
                <w:rFonts w:ascii="Gentium" w:hAnsi="Gentium" w:cs="Gentium"/>
                <w:sz w:val="22"/>
                <w:szCs w:val="22"/>
              </w:rPr>
            </w:pPr>
            <w:r>
              <w:rPr>
                <w:rFonts w:ascii="Gentium" w:hAnsi="Gentium" w:eastAsia="Gentium" w:cs="Gentium"/>
                <w:sz w:val="22"/>
                <w:szCs w:val="22"/>
              </w:rPr>
              <w:t xml:space="preserve">7.NT: repere și exigențe spirituale în familia creștine</w:t>
            </w:r>
            <w:r>
              <w:rPr>
                <w:rFonts w:ascii="Gentium" w:hAnsi="Gentium" w:cs="Gentium"/>
                <w:sz w:val="22"/>
                <w:szCs w:val="22"/>
              </w:rPr>
            </w:r>
            <w:r>
              <w:rPr>
                <w:rFonts w:ascii="Gentium" w:hAnsi="Gentium" w:cs="Gentium"/>
                <w:sz w:val="22"/>
                <w:szCs w:val="22"/>
              </w:rPr>
            </w:r>
          </w:p>
        </w:tc>
        <w:tc>
          <w:tcPr>
            <w:shd w:val="clear" w:color="ffffff" w:fill="ffffff"/>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Expunere, prezentare</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shd w:val="clear" w:color="ffffff" w:fill="ffffff"/>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două ore fizice</w:t>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8.Educația teologică în familie: individ și grup familial, profil individual și comunitar</w:t>
            </w:r>
            <w:r>
              <w:rPr>
                <w:rFonts w:ascii="Gentium" w:hAnsi="Gentium" w:cs="Gentium"/>
                <w:sz w:val="22"/>
                <w:szCs w:val="22"/>
              </w:rPr>
            </w:r>
            <w:r>
              <w:rPr>
                <w:rFonts w:ascii="Gentium" w:hAnsi="Gentium" w:cs="Gentium"/>
                <w:sz w:val="22"/>
                <w:szCs w:val="22"/>
              </w:rPr>
            </w:r>
          </w:p>
        </w:tc>
        <w:tc>
          <w:tcPr>
            <w:shd w:val="clear" w:color="ffffff" w:fill="ffffff"/>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Expunere, prezentare</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shd w:val="clear" w:color="ffffff" w:fill="ffffff"/>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două ore fizice</w:t>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9.Familia și nevoia disciplinei etice și a structurii epistemologice (cunoaștere, valori bine-rău).</w:t>
            </w:r>
            <w:r>
              <w:rPr>
                <w:rFonts w:ascii="Gentium" w:hAnsi="Gentium" w:cs="Gentium"/>
                <w:sz w:val="22"/>
                <w:szCs w:val="22"/>
              </w:rPr>
            </w:r>
            <w:r>
              <w:rPr>
                <w:rFonts w:ascii="Gentium" w:hAnsi="Gentium" w:cs="Gentium"/>
                <w:sz w:val="22"/>
                <w:szCs w:val="22"/>
              </w:rPr>
            </w:r>
          </w:p>
        </w:tc>
        <w:tc>
          <w:tcPr>
            <w:shd w:val="clear" w:color="ffffff" w:fill="ffffff"/>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Expunere, prezentare</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shd w:val="clear" w:color="ffffff" w:fill="ffffff"/>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două ore fizice</w:t>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10.Cunoașterea teologică și evanghelizare (formulare, proces, progresie, reformulare)</w:t>
            </w:r>
            <w:r>
              <w:rPr>
                <w:rFonts w:ascii="Gentium" w:hAnsi="Gentium" w:cs="Gentium"/>
                <w:sz w:val="22"/>
                <w:szCs w:val="22"/>
              </w:rPr>
            </w:r>
            <w:r>
              <w:rPr>
                <w:rFonts w:ascii="Gentium" w:hAnsi="Gentium" w:cs="Gentium"/>
                <w:sz w:val="22"/>
                <w:szCs w:val="22"/>
              </w:rPr>
            </w:r>
          </w:p>
        </w:tc>
        <w:tc>
          <w:tcPr>
            <w:shd w:val="clear" w:color="ffffff" w:fill="ffffff"/>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Expunere, prezentare</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shd w:val="clear" w:color="ffffff" w:fill="ffffff"/>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două ore fizice</w:t>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11.Familia și misiunea creștină: perspective, limite, valori</w:t>
            </w:r>
            <w:r>
              <w:rPr>
                <w:rFonts w:ascii="Gentium" w:hAnsi="Gentium" w:cs="Gentium"/>
                <w:sz w:val="22"/>
                <w:szCs w:val="22"/>
              </w:rPr>
            </w:r>
            <w:r>
              <w:rPr>
                <w:rFonts w:ascii="Gentium" w:hAnsi="Gentium" w:cs="Gentium"/>
                <w:sz w:val="22"/>
                <w:szCs w:val="22"/>
              </w:rPr>
            </w:r>
          </w:p>
        </w:tc>
        <w:tc>
          <w:tcPr>
            <w:shd w:val="clear" w:color="ffffff" w:fill="ffffff"/>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Expunere, prezentare</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shd w:val="clear" w:color="ffffff" w:fill="ffffff"/>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două ore fizice</w:t>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12.Metode pedagogice – educaționale și spiritualitatea copiiilor</w:t>
            </w:r>
            <w:r>
              <w:rPr>
                <w:rFonts w:ascii="Gentium" w:hAnsi="Gentium" w:cs="Gentium"/>
                <w:sz w:val="22"/>
                <w:szCs w:val="22"/>
              </w:rPr>
            </w:r>
            <w:r>
              <w:rPr>
                <w:rFonts w:ascii="Gentium" w:hAnsi="Gentium" w:cs="Gentium"/>
                <w:sz w:val="22"/>
                <w:szCs w:val="22"/>
              </w:rPr>
            </w:r>
          </w:p>
        </w:tc>
        <w:tc>
          <w:tcPr>
            <w:shd w:val="clear" w:color="ffffff" w:fill="ffffff"/>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Expunere, prezentare</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shd w:val="clear" w:color="ffffff" w:fill="ffffff"/>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două ore fizice</w:t>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13.Coordonare și integrare a vârstelor diferite în familie</w:t>
            </w:r>
            <w:r>
              <w:rPr>
                <w:rFonts w:ascii="Gentium" w:hAnsi="Gentium" w:cs="Gentium"/>
                <w:sz w:val="22"/>
                <w:szCs w:val="22"/>
              </w:rPr>
            </w:r>
            <w:r>
              <w:rPr>
                <w:rFonts w:ascii="Gentium" w:hAnsi="Gentium" w:cs="Gentium"/>
                <w:sz w:val="22"/>
                <w:szCs w:val="22"/>
              </w:rPr>
            </w:r>
          </w:p>
        </w:tc>
        <w:tc>
          <w:tcPr>
            <w:shd w:val="clear" w:color="ffffff" w:fill="ffffff"/>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Expunere, prezentare</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shd w:val="clear" w:color="ffffff" w:fill="ffffff"/>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două ore fizice</w:t>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vMerge w:val="restart"/>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14.Familia creștină ca mediu de formare spirituală și teologică: proiecte</w:t>
            </w:r>
            <w:r>
              <w:rPr>
                <w:rFonts w:ascii="Gentium" w:hAnsi="Gentium" w:cs="Gentium"/>
                <w:sz w:val="22"/>
                <w:szCs w:val="22"/>
              </w:rPr>
            </w:r>
            <w:r>
              <w:rPr>
                <w:rFonts w:ascii="Gentium" w:hAnsi="Gentium" w:cs="Gentium"/>
                <w:sz w:val="22"/>
                <w:szCs w:val="22"/>
              </w:rPr>
            </w:r>
          </w:p>
        </w:tc>
        <w:tc>
          <w:tcPr>
            <w:shd w:val="clear" w:color="ffffff" w:fill="ffffff"/>
            <w:tcBorders/>
            <w:tcW w:w="2951" w:type="dxa"/>
            <w:vMerge w:val="restart"/>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Expunere, prezentare</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shd w:val="clear" w:color="ffffff" w:fill="ffffff"/>
            <w:tcBorders/>
            <w:tcW w:w="1911" w:type="dxa"/>
            <w:vAlign w:val="center"/>
            <w:vMerge w:val="restart"/>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două ore fizice</w:t>
            </w:r>
            <w:r>
              <w:rPr>
                <w:rFonts w:ascii="Gentium" w:hAnsi="Gentium" w:cs="Gentium"/>
                <w:sz w:val="22"/>
                <w:szCs w:val="22"/>
              </w:rPr>
            </w:r>
            <w:r>
              <w:rPr>
                <w:rFonts w:ascii="Gentium" w:hAnsi="Gentium" w:cs="Gentium"/>
                <w:sz w:val="22"/>
                <w:szCs w:val="22"/>
              </w:rPr>
            </w:r>
          </w:p>
        </w:tc>
      </w:tr>
      <w:tr>
        <w:trPr>
          <w:trHeight w:val="892"/>
        </w:trPr>
        <w:tc>
          <w:tcPr>
            <w:shd w:val="clear" w:color="ffffff" w:fill="d9d9d9"/>
            <w:tcBorders/>
            <w:tcW w:w="5060" w:type="dxa"/>
            <w:vAlign w:val="center"/>
            <w:textDirection w:val="lrTb"/>
            <w:noWrap w:val="false"/>
          </w:tcPr>
          <w:p>
            <w:pPr>
              <w:pBdr/>
              <w:spacing/>
              <w:ind/>
              <w:rPr>
                <w:b/>
                <w:sz w:val="22"/>
                <w:szCs w:val="22"/>
              </w:rPr>
            </w:pPr>
            <w:r>
              <w:rPr>
                <w:b/>
                <w:sz w:val="22"/>
                <w:szCs w:val="22"/>
              </w:rPr>
              <w:t xml:space="preserve">7.2. Seminar / laborator</w:t>
            </w:r>
            <w:r>
              <w:rPr>
                <w:b/>
                <w:sz w:val="22"/>
                <w:szCs w:val="22"/>
              </w:rPr>
            </w:r>
            <w:r>
              <w:rPr>
                <w:b/>
                <w:sz w:val="22"/>
                <w:szCs w:val="22"/>
              </w:rPr>
            </w:r>
          </w:p>
        </w:tc>
        <w:tc>
          <w:tcPr>
            <w:shd w:val="clear" w:color="ffffff" w:fill="d9d9d9"/>
            <w:tcBorders/>
            <w:tcW w:w="2951" w:type="dxa"/>
            <w:textDirection w:val="lrTb"/>
            <w:noWrap w:val="false"/>
          </w:tcPr>
          <w:p>
            <w:pPr>
              <w:pBdr/>
              <w:spacing/>
              <w:ind/>
              <w:rPr>
                <w:b/>
                <w:sz w:val="22"/>
                <w:szCs w:val="22"/>
              </w:rPr>
            </w:pPr>
            <w:r>
              <w:rPr>
                <w:b/>
                <w:sz w:val="22"/>
                <w:szCs w:val="22"/>
                <w:lang w:val="en-US"/>
              </w:rPr>
              <w:t xml:space="preserve">Metode</w:t>
            </w:r>
            <w:r>
              <w:rPr>
                <w:b/>
                <w:sz w:val="22"/>
                <w:szCs w:val="22"/>
                <w:lang w:val="en-US"/>
              </w:rPr>
              <w:t xml:space="preserve"> de seminar: </w:t>
            </w:r>
            <w:r>
              <w:rPr>
                <w:b/>
                <w:sz w:val="22"/>
                <w:szCs w:val="22"/>
                <w:lang w:val="en-US"/>
              </w:rPr>
              <w:t xml:space="preserve">dezbatere</w:t>
            </w:r>
            <w:r>
              <w:rPr>
                <w:b/>
                <w:sz w:val="22"/>
                <w:szCs w:val="22"/>
                <w:lang w:val="en-US"/>
              </w:rPr>
              <w:t xml:space="preserve">, </w:t>
            </w:r>
            <w:r>
              <w:rPr>
                <w:b/>
                <w:sz w:val="22"/>
                <w:szCs w:val="22"/>
                <w:lang w:val="en-US"/>
              </w:rPr>
              <w:t xml:space="preserve">analiză</w:t>
            </w:r>
            <w:r>
              <w:rPr>
                <w:b/>
                <w:sz w:val="22"/>
                <w:szCs w:val="22"/>
                <w:lang w:val="en-US"/>
              </w:rPr>
              <w:t xml:space="preserve"> de </w:t>
            </w:r>
            <w:r>
              <w:rPr>
                <w:b/>
                <w:sz w:val="22"/>
                <w:szCs w:val="22"/>
                <w:lang w:val="en-US"/>
              </w:rPr>
              <w:t xml:space="preserve">caz</w:t>
            </w:r>
            <w:r>
              <w:rPr>
                <w:b/>
                <w:sz w:val="22"/>
                <w:szCs w:val="22"/>
                <w:lang w:val="en-US"/>
              </w:rPr>
              <w:t xml:space="preserve">, </w:t>
            </w:r>
            <w:r>
              <w:rPr>
                <w:b/>
                <w:sz w:val="22"/>
                <w:szCs w:val="22"/>
                <w:lang w:val="en-US"/>
              </w:rPr>
              <w:t xml:space="preserve">lucrare</w:t>
            </w:r>
            <w:r>
              <w:rPr>
                <w:b/>
                <w:sz w:val="22"/>
                <w:szCs w:val="22"/>
              </w:rPr>
            </w:r>
            <w:r>
              <w:rPr>
                <w:b/>
                <w:sz w:val="22"/>
                <w:szCs w:val="22"/>
              </w:rPr>
            </w:r>
          </w:p>
        </w:tc>
        <w:tc>
          <w:tcPr>
            <w:shd w:val="clear" w:color="ffffff" w:fill="d9d9d9"/>
            <w:tcBorders/>
            <w:tcW w:w="1911" w:type="dxa"/>
            <w:textDirection w:val="lrTb"/>
            <w:noWrap w:val="false"/>
          </w:tcPr>
          <w:p>
            <w:pPr>
              <w:pBdr/>
              <w:spacing/>
              <w:ind/>
              <w:rPr>
                <w:b/>
                <w:sz w:val="22"/>
                <w:szCs w:val="22"/>
              </w:rPr>
            </w:pPr>
            <w:r>
              <w:rPr>
                <w:b/>
                <w:sz w:val="22"/>
                <w:szCs w:val="22"/>
              </w:rPr>
            </w:r>
            <w:r>
              <w:rPr>
                <w:b/>
                <w:sz w:val="22"/>
                <w:szCs w:val="22"/>
              </w:rPr>
            </w:r>
            <w:r>
              <w:rPr>
                <w:b/>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Perspective biblice antropologice (individul, familia, societatea)</w:t>
            </w:r>
            <w:r>
              <w:rPr>
                <w:rFonts w:ascii="Gentium" w:hAnsi="Gentium" w:cs="Gentium"/>
                <w:sz w:val="22"/>
                <w:szCs w:val="22"/>
              </w:rPr>
            </w:r>
            <w:r>
              <w:rPr>
                <w:rFonts w:ascii="Gentium" w:hAnsi="Gentium" w:cs="Gentium"/>
                <w:sz w:val="22"/>
                <w:szCs w:val="22"/>
              </w:rPr>
            </w:r>
          </w:p>
        </w:tc>
        <w:tc>
          <w:tcPr>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Dezbatere, analiza</w:t>
            </w:r>
            <w:r>
              <w:rPr>
                <w:rFonts w:ascii="Gentium" w:hAnsi="Gentium" w:cs="Gentium"/>
                <w:sz w:val="22"/>
                <w:szCs w:val="22"/>
              </w:rPr>
            </w:r>
            <w:r>
              <w:rPr>
                <w:rFonts w:ascii="Gentium" w:hAnsi="Gentium" w:cs="Gentium"/>
                <w:sz w:val="22"/>
                <w:szCs w:val="22"/>
              </w:rPr>
            </w:r>
          </w:p>
        </w:tc>
        <w:tc>
          <w:tcPr>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 oră fizică</w:t>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Pedagogie și creșterea copilului: perspective biologice, sociale, psihologice și identitare</w:t>
            </w:r>
            <w:r>
              <w:rPr>
                <w:rFonts w:ascii="Gentium" w:hAnsi="Gentium" w:cs="Gentium"/>
                <w:sz w:val="22"/>
                <w:szCs w:val="22"/>
              </w:rPr>
            </w:r>
            <w:r>
              <w:rPr>
                <w:rFonts w:ascii="Gentium" w:hAnsi="Gentium" w:cs="Gentium"/>
                <w:sz w:val="22"/>
                <w:szCs w:val="22"/>
              </w:rPr>
            </w:r>
          </w:p>
        </w:tc>
        <w:tc>
          <w:tcPr>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Dezbatere, analiza</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 oră fizică</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Aspecte majore ale funcționalității familiei creștine (disfuncționalități, disoluție, refacere, familia lărgită, familii mono-parentale) </w:t>
            </w:r>
            <w:r>
              <w:rPr>
                <w:rFonts w:ascii="Gentium" w:hAnsi="Gentium" w:cs="Gentium"/>
                <w:sz w:val="22"/>
                <w:szCs w:val="22"/>
              </w:rPr>
            </w:r>
            <w:r>
              <w:rPr>
                <w:rFonts w:ascii="Gentium" w:hAnsi="Gentium" w:cs="Gentium"/>
                <w:sz w:val="22"/>
                <w:szCs w:val="22"/>
              </w:rPr>
            </w:r>
          </w:p>
        </w:tc>
        <w:tc>
          <w:tcPr>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Dezbatere, analiza</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 oră fizică</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Metode pedagogice creștine</w:t>
            </w:r>
            <w:r>
              <w:rPr>
                <w:rFonts w:ascii="Gentium" w:hAnsi="Gentium" w:cs="Gentium"/>
                <w:sz w:val="22"/>
                <w:szCs w:val="22"/>
              </w:rPr>
            </w:r>
            <w:r>
              <w:rPr>
                <w:rFonts w:ascii="Gentium" w:hAnsi="Gentium" w:cs="Gentium"/>
                <w:sz w:val="22"/>
                <w:szCs w:val="22"/>
              </w:rPr>
            </w:r>
          </w:p>
        </w:tc>
        <w:tc>
          <w:tcPr>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Dezbatere, analiza</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 oră fizică</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Integrare socială și educația creștină (roluri, ierarhii, relații)</w:t>
            </w:r>
            <w:r>
              <w:rPr>
                <w:rFonts w:ascii="Gentium" w:hAnsi="Gentium" w:cs="Gentium"/>
                <w:sz w:val="22"/>
                <w:szCs w:val="22"/>
              </w:rPr>
            </w:r>
            <w:r>
              <w:rPr>
                <w:rFonts w:ascii="Gentium" w:hAnsi="Gentium" w:cs="Gentium"/>
                <w:sz w:val="22"/>
                <w:szCs w:val="22"/>
              </w:rPr>
            </w:r>
          </w:p>
        </w:tc>
        <w:tc>
          <w:tcPr>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Dezbatere, analiza</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 oră fizică</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Identitate și educație de gen (definire, recunoaștere, respect, interacțiune)</w:t>
            </w:r>
            <w:r>
              <w:rPr>
                <w:rFonts w:ascii="Gentium" w:hAnsi="Gentium" w:cs="Gentium"/>
                <w:sz w:val="22"/>
                <w:szCs w:val="22"/>
              </w:rPr>
            </w:r>
            <w:r>
              <w:rPr>
                <w:rFonts w:ascii="Gentium" w:hAnsi="Gentium" w:cs="Gentium"/>
                <w:sz w:val="22"/>
                <w:szCs w:val="22"/>
              </w:rPr>
            </w:r>
          </w:p>
        </w:tc>
        <w:tc>
          <w:tcPr>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Dezbatere, analiza</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 oră fizică</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Educația teologică în familie: spiritualitatea familiei creștine și reperele biblice majore, forme de realizare practică</w:t>
            </w:r>
            <w:r>
              <w:rPr>
                <w:rFonts w:ascii="Gentium" w:hAnsi="Gentium" w:cs="Gentium"/>
                <w:sz w:val="22"/>
                <w:szCs w:val="22"/>
              </w:rPr>
            </w:r>
            <w:r>
              <w:rPr>
                <w:rFonts w:ascii="Gentium" w:hAnsi="Gentium" w:cs="Gentium"/>
                <w:sz w:val="22"/>
                <w:szCs w:val="22"/>
              </w:rPr>
            </w:r>
          </w:p>
        </w:tc>
        <w:tc>
          <w:tcPr>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Dezbatere, analiza</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 oră fizică</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Educația teologică în familie: interacțiune între spiritualitate individuală și de grup</w:t>
            </w:r>
            <w:r>
              <w:rPr>
                <w:rFonts w:ascii="Gentium" w:hAnsi="Gentium" w:cs="Gentium"/>
                <w:sz w:val="22"/>
                <w:szCs w:val="22"/>
              </w:rPr>
            </w:r>
            <w:r>
              <w:rPr>
                <w:rFonts w:ascii="Gentium" w:hAnsi="Gentium" w:cs="Gentium"/>
                <w:sz w:val="22"/>
                <w:szCs w:val="22"/>
              </w:rPr>
            </w:r>
          </w:p>
        </w:tc>
        <w:tc>
          <w:tcPr>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Dezbatere, analiza</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 oră fizică</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Familia și disciplinele spirituale: perspective și forme practice</w:t>
            </w:r>
            <w:r>
              <w:rPr>
                <w:rFonts w:ascii="Gentium" w:hAnsi="Gentium" w:cs="Gentium"/>
                <w:sz w:val="22"/>
                <w:szCs w:val="22"/>
              </w:rPr>
            </w:r>
            <w:r>
              <w:rPr>
                <w:rFonts w:ascii="Gentium" w:hAnsi="Gentium" w:cs="Gentium"/>
                <w:sz w:val="22"/>
                <w:szCs w:val="22"/>
              </w:rPr>
            </w:r>
          </w:p>
        </w:tc>
        <w:tc>
          <w:tcPr>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Dezbatere, analiza</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 oră fizică</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Recurența pedagogică (formulare, reformulare, reluare)</w:t>
            </w:r>
            <w:r>
              <w:rPr>
                <w:rFonts w:ascii="Gentium" w:hAnsi="Gentium" w:cs="Gentium"/>
                <w:sz w:val="22"/>
                <w:szCs w:val="22"/>
              </w:rPr>
            </w:r>
            <w:r>
              <w:rPr>
                <w:rFonts w:ascii="Gentium" w:hAnsi="Gentium" w:cs="Gentium"/>
                <w:sz w:val="22"/>
                <w:szCs w:val="22"/>
              </w:rPr>
            </w:r>
          </w:p>
        </w:tc>
        <w:tc>
          <w:tcPr>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Dezbatere, analiza</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 oră fizică</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Familia și prezentarea evangheliei: perspective, valori, limite, integrare socială</w:t>
            </w:r>
            <w:r>
              <w:rPr>
                <w:rFonts w:ascii="Gentium" w:hAnsi="Gentium" w:cs="Gentium"/>
                <w:sz w:val="22"/>
                <w:szCs w:val="22"/>
              </w:rPr>
            </w:r>
            <w:r>
              <w:rPr>
                <w:rFonts w:ascii="Gentium" w:hAnsi="Gentium" w:cs="Gentium"/>
                <w:sz w:val="22"/>
                <w:szCs w:val="22"/>
              </w:rPr>
            </w:r>
          </w:p>
        </w:tc>
        <w:tc>
          <w:tcPr>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Dezbatere, analiza</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 oră fizică</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Tipuri de personalități și temperamente și educația creștină </w:t>
            </w:r>
            <w:r>
              <w:rPr>
                <w:rFonts w:ascii="Gentium" w:hAnsi="Gentium" w:cs="Gentium"/>
                <w:sz w:val="22"/>
                <w:szCs w:val="22"/>
              </w:rPr>
            </w:r>
            <w:r>
              <w:rPr>
                <w:rFonts w:ascii="Gentium" w:hAnsi="Gentium" w:cs="Gentium"/>
                <w:sz w:val="22"/>
                <w:szCs w:val="22"/>
              </w:rPr>
            </w:r>
          </w:p>
        </w:tc>
        <w:tc>
          <w:tcPr>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Dezbatere, analiza</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 oră fizică</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Roluri sociale și de gen și vârstele psihologice-biologice ale copilului</w:t>
            </w:r>
            <w:r>
              <w:rPr>
                <w:rFonts w:ascii="Gentium" w:hAnsi="Gentium" w:cs="Gentium"/>
                <w:sz w:val="22"/>
                <w:szCs w:val="22"/>
              </w:rPr>
            </w:r>
            <w:r>
              <w:rPr>
                <w:rFonts w:ascii="Gentium" w:hAnsi="Gentium" w:cs="Gentium"/>
                <w:sz w:val="22"/>
                <w:szCs w:val="22"/>
              </w:rPr>
            </w:r>
          </w:p>
        </w:tc>
        <w:tc>
          <w:tcPr>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Dezbatere, analiza</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 oră fizică</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r>
      <w:tr>
        <w:trPr/>
        <w:tc>
          <w:tcPr>
            <w:shd w:val="clear" w:color="ffffff" w:fill="ffffff"/>
            <w:tcBorders/>
            <w:tcW w:w="5060"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Familia ca formă de cunoaștere teologică și de afirmare a valorilor creștine</w:t>
            </w:r>
            <w:r>
              <w:rPr>
                <w:rFonts w:ascii="Gentium" w:hAnsi="Gentium" w:cs="Gentium"/>
                <w:sz w:val="22"/>
                <w:szCs w:val="22"/>
              </w:rPr>
            </w:r>
            <w:r>
              <w:rPr>
                <w:rFonts w:ascii="Gentium" w:hAnsi="Gentium" w:cs="Gentium"/>
                <w:sz w:val="22"/>
                <w:szCs w:val="22"/>
              </w:rPr>
            </w:r>
          </w:p>
        </w:tc>
        <w:tc>
          <w:tcPr>
            <w:tcBorders/>
            <w:tcW w:w="2951" w:type="dxa"/>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Dezbatere, analiza</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c>
          <w:tcPr>
            <w:tcBorders/>
            <w:tcW w:w="1911" w:type="dxa"/>
            <w:vAlign w:val="center"/>
            <w:textDirection w:val="lrTb"/>
            <w:noWrap w:val="false"/>
          </w:tcPr>
          <w:p>
            <w:pPr>
              <w:pBdr/>
              <w:spacing/>
              <w:ind/>
              <w:rPr>
                <w:rFonts w:ascii="Gentium" w:hAnsi="Gentium" w:cs="Gentium"/>
                <w:sz w:val="22"/>
                <w:szCs w:val="22"/>
              </w:rPr>
            </w:pPr>
            <w:r>
              <w:rPr>
                <w:rFonts w:ascii="Gentium" w:hAnsi="Gentium" w:eastAsia="Gentium" w:cs="Gentium"/>
                <w:sz w:val="22"/>
                <w:szCs w:val="22"/>
              </w:rPr>
              <w:t xml:space="preserve">1 oră fizică</w:t>
            </w:r>
            <w:r>
              <w:rPr>
                <w:rFonts w:ascii="Gentium" w:hAnsi="Gentium" w:cs="Gentium"/>
                <w:sz w:val="22"/>
                <w:szCs w:val="22"/>
              </w:rPr>
            </w:r>
            <w:r>
              <w:rPr>
                <w:rFonts w:ascii="Gentium" w:hAnsi="Gentium" w:cs="Gentium"/>
                <w:sz w:val="22"/>
                <w:szCs w:val="22"/>
              </w:rPr>
            </w:r>
          </w:p>
          <w:p>
            <w:pPr>
              <w:pBdr/>
              <w:spacing/>
              <w:ind/>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r>
      <w:tr>
        <w:trPr/>
        <w:tc>
          <w:tcPr>
            <w:gridSpan w:val="3"/>
            <w:shd w:val="clear" w:color="ffffff" w:fill="ffffff"/>
            <w:tcBorders/>
            <w:tcW w:w="9923" w:type="dxa"/>
            <w:textDirection w:val="lrTb"/>
            <w:noWrap w:val="false"/>
          </w:tcPr>
          <w:p w14:paraId="6C34E2A7">
            <w:pPr>
              <w:pBdr/>
              <w:spacing/>
              <w:ind/>
              <w:rPr>
                <w:b/>
                <w:bCs/>
                <w:sz w:val="22"/>
                <w:szCs w:val="22"/>
              </w:rPr>
            </w:pPr>
            <w:r>
              <w:rPr>
                <w:b/>
                <w:sz w:val="22"/>
                <w:szCs w:val="22"/>
                <w:highlight w:val="none"/>
              </w:rPr>
            </w:r>
            <w:r>
              <w:rPr>
                <w:b/>
                <w:bCs/>
                <w:sz w:val="22"/>
                <w:szCs w:val="22"/>
              </w:rPr>
            </w:r>
            <w:r>
              <w:rPr>
                <w:b/>
                <w:bCs/>
                <w:sz w:val="22"/>
                <w:szCs w:val="22"/>
              </w:rPr>
            </w:r>
          </w:p>
          <w:p>
            <w:pPr>
              <w:pBdr/>
              <w:spacing/>
              <w:ind/>
              <w:rPr>
                <w:b/>
                <w:bCs/>
                <w:sz w:val="22"/>
                <w:szCs w:val="22"/>
                <w:highlight w:val="none"/>
              </w:rPr>
            </w:pPr>
            <w:r>
              <w:rPr>
                <w:b/>
                <w:sz w:val="22"/>
                <w:szCs w:val="22"/>
              </w:rPr>
              <w:t xml:space="preserve">8. Bibliografie generală</w:t>
            </w:r>
            <w:r>
              <w:rPr>
                <w:b/>
                <w:bCs/>
                <w:sz w:val="22"/>
                <w:szCs w:val="22"/>
                <w:highlight w:val="none"/>
              </w:rPr>
            </w:r>
            <w:r>
              <w:rPr>
                <w:b/>
                <w:bCs/>
                <w:sz w:val="22"/>
                <w:szCs w:val="22"/>
                <w:highlight w:val="none"/>
              </w:rPr>
            </w:r>
          </w:p>
          <w:p>
            <w:pPr>
              <w:pBdr>
                <w:top w:val="none" w:color="000000" w:sz="4" w:space="0"/>
                <w:left w:val="none" w:color="000000" w:sz="4" w:space="0"/>
                <w:bottom w:val="none" w:color="000000" w:sz="4" w:space="0"/>
                <w:right w:val="none" w:color="000000" w:sz="4" w:space="0"/>
              </w:pBdr>
              <w:spacing/>
              <w:ind/>
              <w:rPr>
                <w:sz w:val="22"/>
                <w:szCs w:val="22"/>
              </w:rPr>
            </w:pPr>
            <w:r>
              <w:rPr>
                <w:sz w:val="22"/>
                <w:szCs w:val="22"/>
              </w:rPr>
            </w:r>
            <w:r>
              <w:rPr>
                <w:sz w:val="22"/>
                <w:szCs w:val="22"/>
              </w:rPr>
            </w:r>
            <w:r>
              <w:rPr>
                <w:sz w:val="22"/>
                <w:szCs w:val="22"/>
              </w:rPr>
            </w:r>
          </w:p>
          <w:p>
            <w:pPr>
              <w:pBdr>
                <w:top w:val="none" w:color="000000" w:sz="4" w:space="0"/>
                <w:left w:val="none" w:color="000000" w:sz="4" w:space="0"/>
                <w:bottom w:val="none" w:color="000000" w:sz="4" w:space="0"/>
                <w:right w:val="none" w:color="000000" w:sz="4" w:space="0"/>
              </w:pBdr>
              <w:spacing/>
              <w:ind/>
              <w:rPr>
                <w:b/>
                <w:bCs/>
                <w:sz w:val="22"/>
                <w:szCs w:val="22"/>
              </w:rPr>
            </w:pPr>
            <w:r>
              <w:rPr>
                <w:b/>
                <w:bCs/>
                <w:sz w:val="22"/>
                <w:szCs w:val="22"/>
              </w:rPr>
              <w:t xml:space="preserve">Bibliografie obligatorie </w:t>
            </w:r>
            <w:r>
              <w:rPr>
                <w:b/>
                <w:bCs/>
                <w:sz w:val="22"/>
                <w:szCs w:val="22"/>
              </w:rPr>
            </w:r>
            <w:r>
              <w:rPr>
                <w:b/>
                <w:bCs/>
                <w:sz w:val="22"/>
                <w:szCs w:val="22"/>
              </w:rPr>
            </w:r>
          </w:p>
          <w:p>
            <w:pPr>
              <w:pBdr>
                <w:top w:val="none" w:color="000000" w:sz="4" w:space="0"/>
                <w:left w:val="none" w:color="000000" w:sz="4" w:space="0"/>
                <w:bottom w:val="none" w:color="000000" w:sz="4" w:space="0"/>
                <w:right w:val="none" w:color="000000" w:sz="4" w:space="0"/>
              </w:pBdr>
              <w:spacing/>
              <w:ind/>
              <w:rPr>
                <w:sz w:val="22"/>
                <w:szCs w:val="22"/>
                <w:highlight w:val="none"/>
              </w:rPr>
            </w:pPr>
            <w:r>
              <w:rPr>
                <w:sz w:val="22"/>
                <w:szCs w:val="22"/>
                <w:highlight w:val="none"/>
              </w:rPr>
            </w:r>
            <w:r>
              <w:rPr>
                <w:sz w:val="22"/>
                <w:szCs w:val="22"/>
                <w:highlight w:val="none"/>
              </w:rPr>
              <w:t xml:space="preserve">Andreas J. Köstenberger and David W. Jones</w:t>
            </w:r>
            <w:r>
              <w:rPr>
                <w:sz w:val="22"/>
                <w:szCs w:val="22"/>
                <w:highlight w:val="none"/>
              </w:rPr>
              <w:t xml:space="preserve">, God, Marriage, and Family: Rebuilding the Biblical Foundation, Second Edition, </w:t>
            </w:r>
            <w:r>
              <w:rPr>
                <w:sz w:val="22"/>
                <w:szCs w:val="22"/>
                <w:highlight w:val="none"/>
              </w:rPr>
              <w:t xml:space="preserve">Wheaton, IL: Crossway, 2010, 2004</w:t>
            </w:r>
            <w:r>
              <w:rPr>
                <w:sz w:val="22"/>
                <w:szCs w:val="22"/>
                <w:highlight w:val="none"/>
              </w:rPr>
            </w:r>
            <w:r>
              <w:rPr>
                <w:sz w:val="22"/>
                <w:szCs w:val="22"/>
                <w:highlight w:val="none"/>
              </w:rPr>
            </w:r>
          </w:p>
          <w:p>
            <w:pPr>
              <w:pBdr>
                <w:top w:val="none" w:color="000000" w:sz="4" w:space="0"/>
                <w:left w:val="none" w:color="000000" w:sz="4" w:space="0"/>
                <w:bottom w:val="none" w:color="000000" w:sz="4" w:space="0"/>
                <w:right w:val="none" w:color="000000" w:sz="4" w:space="0"/>
              </w:pBdr>
              <w:spacing/>
              <w:ind/>
              <w:rPr>
                <w:sz w:val="22"/>
                <w:szCs w:val="22"/>
                <w:highlight w:val="none"/>
              </w:rPr>
            </w:pPr>
            <w:r>
              <w:rPr>
                <w:sz w:val="22"/>
                <w:szCs w:val="22"/>
                <w:highlight w:val="none"/>
              </w:rPr>
            </w:r>
            <w:r>
              <w:rPr>
                <w:sz w:val="22"/>
                <w:szCs w:val="22"/>
              </w:rPr>
              <w:t xml:space="preserve">Daniel, Patriarh al Bisericii Ortodoxe Române, Teologie şi spiritualitate, ed. a 2-a, cu bibliografie actualizată, Bucureşti : Basilica, 2022</w:t>
            </w:r>
            <w:r>
              <w:rPr>
                <w:sz w:val="22"/>
                <w:szCs w:val="22"/>
                <w:highlight w:val="none"/>
              </w:rPr>
            </w:r>
            <w:r>
              <w:rPr>
                <w:sz w:val="22"/>
                <w:szCs w:val="22"/>
                <w:highlight w:val="none"/>
              </w:rPr>
            </w:r>
          </w:p>
          <w:p>
            <w:pPr>
              <w:pBdr>
                <w:top w:val="none" w:color="000000" w:sz="4" w:space="0"/>
                <w:left w:val="none" w:color="000000" w:sz="4" w:space="0"/>
                <w:bottom w:val="none" w:color="000000" w:sz="4" w:space="0"/>
                <w:right w:val="none" w:color="000000" w:sz="4" w:space="0"/>
              </w:pBdr>
              <w:spacing/>
              <w:ind/>
              <w:rPr>
                <w:sz w:val="22"/>
                <w:szCs w:val="22"/>
                <w:highlight w:val="none"/>
              </w:rPr>
            </w:pPr>
            <w:r>
              <w:rPr>
                <w:sz w:val="22"/>
                <w:szCs w:val="22"/>
                <w:highlight w:val="none"/>
              </w:rPr>
            </w:r>
            <w:r>
              <w:rPr>
                <w:sz w:val="22"/>
                <w:szCs w:val="22"/>
                <w:highlight w:val="none"/>
              </w:rPr>
            </w:r>
            <w:r>
              <w:rPr>
                <w:sz w:val="22"/>
                <w:szCs w:val="22"/>
                <w:highlight w:val="none"/>
              </w:rPr>
            </w:r>
          </w:p>
          <w:p>
            <w:pPr>
              <w:pBdr>
                <w:top w:val="none" w:color="000000" w:sz="4" w:space="0"/>
                <w:left w:val="none" w:color="000000" w:sz="4" w:space="0"/>
                <w:bottom w:val="none" w:color="000000" w:sz="4" w:space="0"/>
                <w:right w:val="none" w:color="000000" w:sz="4" w:space="0"/>
              </w:pBdr>
              <w:spacing/>
              <w:ind/>
              <w:rPr>
                <w:b/>
                <w:bCs/>
                <w:sz w:val="22"/>
                <w:szCs w:val="22"/>
              </w:rPr>
            </w:pPr>
            <w:r>
              <w:rPr>
                <w:b/>
                <w:bCs/>
                <w:sz w:val="22"/>
                <w:szCs w:val="22"/>
              </w:rPr>
              <w:t xml:space="preserve">Bibliografie </w:t>
            </w:r>
            <w:r>
              <w:rPr>
                <w:b/>
                <w:bCs/>
                <w:sz w:val="22"/>
                <w:szCs w:val="22"/>
              </w:rPr>
              <w:t xml:space="preserve">optionala</w:t>
            </w:r>
            <w:r>
              <w:rPr>
                <w:b/>
                <w:bCs/>
                <w:sz w:val="22"/>
                <w:szCs w:val="22"/>
              </w:rPr>
            </w:r>
            <w:r>
              <w:rPr>
                <w:b/>
                <w:bCs/>
                <w:sz w:val="22"/>
                <w:szCs w:val="22"/>
              </w:rPr>
            </w:r>
          </w:p>
          <w:p>
            <w:pPr>
              <w:pBdr>
                <w:top w:val="none" w:color="000000" w:sz="4" w:space="0"/>
                <w:left w:val="none" w:color="000000" w:sz="4" w:space="0"/>
                <w:bottom w:val="none" w:color="000000" w:sz="4" w:space="0"/>
                <w:right w:val="none" w:color="000000" w:sz="4" w:space="0"/>
              </w:pBdr>
              <w:spacing/>
              <w:ind/>
              <w:rPr>
                <w:sz w:val="22"/>
                <w:szCs w:val="22"/>
                <w:highlight w:val="none"/>
              </w:rPr>
            </w:pPr>
            <w:r>
              <w:rPr>
                <w:sz w:val="22"/>
                <w:szCs w:val="22"/>
              </w:rPr>
              <w:t xml:space="preserve">Onedera, J. D. (Ed.). The role of religion in marriage and family counseling, </w:t>
            </w:r>
            <w:r>
              <w:rPr>
                <w:sz w:val="22"/>
                <w:szCs w:val="22"/>
              </w:rPr>
              <w:t xml:space="preserve">New York: Routledge, 2008.</w:t>
            </w:r>
            <w:r>
              <w:rPr>
                <w:sz w:val="22"/>
                <w:szCs w:val="22"/>
                <w:highlight w:val="none"/>
              </w:rPr>
            </w:r>
            <w:r>
              <w:rPr>
                <w:sz w:val="22"/>
                <w:szCs w:val="22"/>
                <w:highlight w:val="none"/>
              </w:rPr>
            </w:r>
          </w:p>
          <w:p>
            <w:pPr>
              <w:pBdr>
                <w:top w:val="none" w:color="000000" w:sz="4" w:space="0"/>
                <w:left w:val="none" w:color="000000" w:sz="4" w:space="0"/>
                <w:bottom w:val="none" w:color="000000" w:sz="4" w:space="0"/>
                <w:right w:val="none" w:color="000000" w:sz="4" w:space="0"/>
              </w:pBdr>
              <w:spacing/>
              <w:ind/>
              <w:rPr/>
            </w:pPr>
            <w:r>
              <w:rPr>
                <w:sz w:val="22"/>
                <w:szCs w:val="22"/>
                <w:highlight w:val="none"/>
              </w:rPr>
              <w:t xml:space="preserve">Wilcox, W. B., Soft patriarchs, new men: How Christianity shapes fathers and </w:t>
            </w:r>
            <w:r>
              <w:rPr>
                <w:sz w:val="22"/>
                <w:szCs w:val="22"/>
                <w:highlight w:val="none"/>
              </w:rPr>
              <w:t xml:space="preserve">husbands. Chicago: University of Chicago Press, 2004</w:t>
            </w:r>
            <w:r>
              <w:rPr>
                <w:sz w:val="22"/>
                <w:szCs w:val="22"/>
                <w:highlight w:val="none"/>
              </w:rPr>
            </w:r>
            <w:r/>
          </w:p>
          <w:p>
            <w:pPr>
              <w:pBdr>
                <w:top w:val="none" w:color="000000" w:sz="4" w:space="0"/>
                <w:left w:val="none" w:color="000000" w:sz="4" w:space="0"/>
                <w:bottom w:val="none" w:color="000000" w:sz="4" w:space="0"/>
                <w:right w:val="none" w:color="000000" w:sz="4" w:space="0"/>
              </w:pBdr>
              <w:spacing/>
              <w:ind/>
              <w:rPr>
                <w:sz w:val="22"/>
                <w:szCs w:val="22"/>
              </w:rPr>
            </w:pPr>
            <w:r>
              <w:rPr>
                <w:sz w:val="22"/>
                <w:szCs w:val="22"/>
              </w:rPr>
            </w:r>
            <w:r>
              <w:rPr>
                <w:sz w:val="22"/>
                <w:szCs w:val="22"/>
              </w:rPr>
            </w:r>
            <w:r>
              <w:rPr>
                <w:sz w:val="22"/>
                <w:szCs w:val="22"/>
              </w:rPr>
            </w:r>
          </w:p>
        </w:tc>
      </w:tr>
    </w:tbl>
    <w:p>
      <w:pPr>
        <w:pBdr/>
        <w:spacing/>
        <w:ind/>
        <w:jc w:val="center"/>
        <w:rPr>
          <w:b/>
          <w:bCs/>
          <w:sz w:val="22"/>
          <w:szCs w:val="22"/>
        </w:rPr>
      </w:pPr>
      <w:r>
        <w:rPr>
          <w:b/>
          <w:sz w:val="22"/>
          <w:szCs w:val="22"/>
        </w:rPr>
      </w:r>
      <w:r>
        <w:rPr>
          <w:b/>
          <w:bCs/>
          <w:sz w:val="22"/>
          <w:szCs w:val="22"/>
        </w:rPr>
      </w:r>
      <w:r>
        <w:rPr>
          <w:b/>
          <w:bCs/>
          <w:sz w:val="22"/>
          <w:szCs w:val="22"/>
        </w:rPr>
      </w:r>
    </w:p>
    <w:p>
      <w:pPr>
        <w:pBdr/>
        <w:spacing/>
        <w:ind/>
        <w:rPr>
          <w:b/>
          <w:sz w:val="24"/>
          <w:szCs w:val="24"/>
        </w:rPr>
      </w:pPr>
      <w:r>
        <w:rPr>
          <w:b/>
          <w:sz w:val="24"/>
          <w:szCs w:val="24"/>
        </w:rPr>
        <w:t xml:space="preserve">9. </w:t>
      </w:r>
      <w:r>
        <w:rPr>
          <w:b/>
        </w:rPr>
        <w:t xml:space="preserve">Coroborarea </w:t>
      </w:r>
      <w:r>
        <w:rPr>
          <w:b/>
        </w:rPr>
        <w:t xml:space="preserve">conținuturilor</w:t>
      </w:r>
      <w:r>
        <w:rPr>
          <w:b/>
        </w:rPr>
        <w:t xml:space="preserve"> disciplinei cu </w:t>
      </w:r>
      <w:r>
        <w:rPr>
          <w:b/>
        </w:rPr>
        <w:t xml:space="preserve">așteptările</w:t>
      </w:r>
      <w:r>
        <w:rPr>
          <w:b/>
        </w:rPr>
        <w:t xml:space="preserve"> </w:t>
      </w:r>
      <w:r>
        <w:rPr>
          <w:b/>
        </w:rPr>
        <w:t xml:space="preserve">reprezentanţilor</w:t>
      </w:r>
      <w:r>
        <w:rPr>
          <w:b/>
        </w:rPr>
        <w:t xml:space="preserve"> </w:t>
      </w:r>
      <w:r>
        <w:rPr>
          <w:b/>
        </w:rPr>
        <w:t xml:space="preserve">comunităţii</w:t>
      </w:r>
      <w:r>
        <w:rPr>
          <w:b/>
        </w:rPr>
        <w:t xml:space="preserve"> epistemice, </w:t>
      </w:r>
      <w:r>
        <w:rPr>
          <w:b/>
        </w:rPr>
        <w:t xml:space="preserve">asociaţiilor</w:t>
      </w:r>
      <w:r>
        <w:rPr>
          <w:b/>
        </w:rPr>
        <w:t xml:space="preserve">  profesionale </w:t>
      </w:r>
      <w:r>
        <w:rPr>
          <w:b/>
        </w:rPr>
        <w:t xml:space="preserve">şi</w:t>
      </w:r>
      <w:r>
        <w:rPr>
          <w:b/>
        </w:rPr>
        <w:t xml:space="preserve"> angajatori reprezentativi din domeniul aferent programului</w:t>
      </w:r>
      <w:r>
        <w:rPr>
          <w:b/>
          <w:sz w:val="24"/>
          <w:szCs w:val="24"/>
        </w:rPr>
      </w:r>
      <w:r>
        <w:rPr>
          <w:b/>
          <w:sz w:val="24"/>
          <w:szCs w:val="24"/>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10029"/>
      </w:tblGrid>
      <w:tr>
        <w:trPr/>
        <w:tc>
          <w:tcPr>
            <w:tcBorders/>
            <w:tcW w:w="10029" w:type="dxa"/>
            <w:textDirection w:val="lrTb"/>
            <w:noWrap w:val="false"/>
          </w:tcPr>
          <w:p>
            <w:pPr>
              <w:numPr>
                <w:ilvl w:val="0"/>
                <w:numId w:val="13"/>
              </w:numPr>
              <w:pBdr/>
              <w:spacing/>
              <w:ind w:left="0"/>
              <w:rPr>
                <w:sz w:val="24"/>
                <w:szCs w:val="24"/>
              </w:rPr>
            </w:pPr>
            <w:r>
              <w:rPr>
                <w:lang w:val="en-US"/>
              </w:rPr>
              <w:t xml:space="preserve">Lucrările</w:t>
            </w:r>
            <w:r>
              <w:rPr>
                <w:lang w:val="en-US"/>
              </w:rPr>
              <w:t xml:space="preserve"> de tip </w:t>
            </w:r>
            <w:r>
              <w:rPr>
                <w:lang w:val="en-US"/>
              </w:rPr>
              <w:t xml:space="preserve">eseu</w:t>
            </w:r>
            <w:r>
              <w:rPr>
                <w:lang w:val="en-US"/>
              </w:rPr>
              <w:t xml:space="preserve"> </w:t>
            </w:r>
            <w:r>
              <w:rPr>
                <w:lang w:val="en-US"/>
              </w:rPr>
              <w:t xml:space="preserve">ştiinţific</w:t>
            </w:r>
            <w:r>
              <w:rPr>
                <w:lang w:val="en-US"/>
              </w:rPr>
              <w:t xml:space="preserve">, s</w:t>
            </w:r>
            <w:r>
              <w:t xml:space="preserve">tudiile</w:t>
            </w:r>
            <w:r>
              <w:t xml:space="preserve"> de caz </w:t>
            </w:r>
            <w:r>
              <w:t xml:space="preserve">şi</w:t>
            </w:r>
            <w:r>
              <w:t xml:space="preserve"> </w:t>
            </w:r>
            <w:r>
              <w:rPr>
                <w:lang w:val="en-US"/>
              </w:rPr>
              <w:t xml:space="preserve">ale </w:t>
            </w:r>
            <w:r>
              <w:t xml:space="preserve">lucrările practice se efectuează conform </w:t>
            </w:r>
            <w:r>
              <w:rPr>
                <w:lang w:val="en-US"/>
              </w:rPr>
              <w:t xml:space="preserve">metodologiei</w:t>
            </w:r>
            <w:r>
              <w:rPr>
                <w:lang w:val="en-US"/>
              </w:rPr>
              <w:t xml:space="preserve"> </w:t>
            </w:r>
            <w:r>
              <w:rPr>
                <w:lang w:val="en-US"/>
              </w:rPr>
              <w:t xml:space="preserve">proprii</w:t>
            </w:r>
            <w:r>
              <w:rPr>
                <w:lang w:val="en-US"/>
              </w:rPr>
              <w:t xml:space="preserve"> </w:t>
            </w:r>
            <w:r>
              <w:rPr>
                <w:lang w:val="en-US"/>
              </w:rPr>
              <w:t xml:space="preserve">ştiinţelor</w:t>
            </w:r>
            <w:r>
              <w:rPr>
                <w:lang w:val="en-US"/>
              </w:rPr>
              <w:t xml:space="preserve"> </w:t>
            </w:r>
            <w:r>
              <w:rPr>
                <w:lang w:val="en-US"/>
              </w:rPr>
              <w:t xml:space="preserve">teologice</w:t>
            </w:r>
            <w:r>
              <w:rPr>
                <w:lang w:val="en-US"/>
              </w:rPr>
              <w:t xml:space="preserve">, </w:t>
            </w:r>
            <w:r>
              <w:rPr>
                <w:lang w:val="en-US"/>
              </w:rPr>
              <w:t xml:space="preserve">filozofice</w:t>
            </w:r>
            <w:r>
              <w:rPr>
                <w:lang w:val="en-US"/>
              </w:rPr>
              <w:t xml:space="preserve"> </w:t>
            </w:r>
            <w:r>
              <w:rPr>
                <w:lang w:val="en-US"/>
              </w:rPr>
              <w:t xml:space="preserve">şi</w:t>
            </w:r>
            <w:r>
              <w:rPr>
                <w:lang w:val="en-US"/>
              </w:rPr>
              <w:t xml:space="preserve"> social – </w:t>
            </w:r>
            <w:r>
              <w:rPr>
                <w:lang w:val="en-US"/>
              </w:rPr>
              <w:t xml:space="preserve">istorice</w:t>
            </w:r>
            <w:r>
              <w:rPr>
                <w:lang w:val="en-US"/>
              </w:rPr>
              <w:t xml:space="preserve">.</w:t>
            </w:r>
            <w:r>
              <w:rPr>
                <w:sz w:val="24"/>
                <w:szCs w:val="24"/>
              </w:rPr>
            </w:r>
            <w:r>
              <w:rPr>
                <w:sz w:val="24"/>
                <w:szCs w:val="24"/>
              </w:rPr>
            </w:r>
          </w:p>
        </w:tc>
      </w:tr>
    </w:tbl>
    <w:p>
      <w:pPr>
        <w:pBdr/>
        <w:spacing/>
        <w:ind/>
        <w:jc w:val="center"/>
        <w:rPr>
          <w:sz w:val="16"/>
          <w:szCs w:val="16"/>
        </w:rPr>
      </w:pPr>
      <w:r>
        <w:rPr>
          <w:sz w:val="16"/>
          <w:szCs w:val="16"/>
        </w:rPr>
      </w:r>
      <w:r>
        <w:rPr>
          <w:sz w:val="16"/>
          <w:szCs w:val="16"/>
        </w:rPr>
      </w:r>
      <w:r>
        <w:rPr>
          <w:sz w:val="16"/>
          <w:szCs w:val="16"/>
        </w:rPr>
      </w:r>
    </w:p>
    <w:p>
      <w:pPr>
        <w:pBdr/>
        <w:tabs>
          <w:tab w:val="center" w:leader="none" w:pos="4873"/>
        </w:tabs>
        <w:spacing/>
        <w:ind/>
        <w:rPr>
          <w:b/>
        </w:rPr>
      </w:pPr>
      <w:r>
        <w:rPr>
          <w:b/>
        </w:rPr>
        <w:t xml:space="preserve">10. Evaluare</w:t>
      </w:r>
      <w:r>
        <w:rPr>
          <w:b/>
        </w:rPr>
        <w:tab/>
      </w:r>
      <w:r>
        <w:rPr>
          <w:b/>
        </w:rPr>
      </w:r>
      <w:r>
        <w:rPr>
          <w:b/>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545"/>
        <w:gridCol w:w="2221"/>
        <w:gridCol w:w="3662"/>
        <w:gridCol w:w="1484"/>
      </w:tblGrid>
      <w:tr>
        <w:trPr/>
        <w:tc>
          <w:tcPr>
            <w:shd w:val="clear" w:color="ffffff" w:fill="ffffff"/>
            <w:tcBorders>
              <w:top w:val="single" w:color="000000" w:sz="4" w:space="0"/>
              <w:left w:val="single" w:color="000000" w:sz="4" w:space="0"/>
              <w:bottom w:val="single" w:color="000000" w:sz="4" w:space="0"/>
              <w:right w:val="single" w:color="000000" w:sz="4" w:space="0"/>
            </w:tcBorders>
            <w:tcW w:w="2553" w:type="dxa"/>
            <w:textDirection w:val="lrTb"/>
            <w:noWrap w:val="false"/>
          </w:tcPr>
          <w:p>
            <w:pPr>
              <w:pBdr/>
              <w:spacing/>
              <w:ind/>
              <w:rPr/>
            </w:pPr>
            <w:r>
              <w:t xml:space="preserve">Tip activitate</w:t>
            </w:r>
            <w:r/>
          </w:p>
        </w:tc>
        <w:tc>
          <w:tcPr>
            <w:shd w:val="clear" w:color="ffffff" w:fill="ffffff"/>
            <w:tcBorders>
              <w:top w:val="single" w:color="000000" w:sz="4" w:space="0"/>
              <w:left w:val="single" w:color="000000" w:sz="4" w:space="0"/>
              <w:bottom w:val="single" w:color="000000" w:sz="4" w:space="0"/>
              <w:right w:val="single" w:color="000000" w:sz="4" w:space="0"/>
            </w:tcBorders>
            <w:tcW w:w="2233" w:type="dxa"/>
            <w:textDirection w:val="lrTb"/>
            <w:noWrap w:val="false"/>
          </w:tcPr>
          <w:p>
            <w:pPr>
              <w:pBdr/>
              <w:spacing/>
              <w:ind w:right="-154" w:left="46"/>
              <w:rPr/>
            </w:pPr>
            <w:r>
              <w:t xml:space="preserve">10.1 Tip de evaluare</w:t>
            </w: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Bdr/>
              <w:spacing/>
              <w:ind/>
              <w:rPr/>
            </w:pPr>
            <w:r>
              <w:t xml:space="preserve">10.2 Metode de evaluare</w:t>
            </w:r>
            <w:r/>
          </w:p>
        </w:tc>
        <w:tc>
          <w:tcPr>
            <w:tcBorders>
              <w:top w:val="single" w:color="000000" w:sz="4" w:space="0"/>
              <w:left w:val="single" w:color="000000" w:sz="4" w:space="0"/>
              <w:bottom w:val="single" w:color="000000" w:sz="4" w:space="0"/>
              <w:right w:val="single" w:color="000000" w:sz="4" w:space="0"/>
            </w:tcBorders>
            <w:tcW w:w="1490" w:type="dxa"/>
            <w:textDirection w:val="lrTb"/>
            <w:noWrap w:val="false"/>
          </w:tcPr>
          <w:p>
            <w:pPr>
              <w:pBdr/>
              <w:spacing/>
              <w:ind/>
              <w:rPr/>
            </w:pPr>
            <w:r>
              <w:t xml:space="preserve">10.3 Pondere din nota finală</w:t>
            </w:r>
            <w:r/>
          </w:p>
        </w:tc>
      </w:tr>
      <w:tr>
        <w:trPr>
          <w:trHeight w:val="135"/>
        </w:trPr>
        <w:tc>
          <w:tcPr>
            <w:shd w:val="clear" w:color="ffffff" w:fill="ffffff"/>
            <w:tcBorders>
              <w:top w:val="single" w:color="000000" w:sz="4" w:space="0"/>
              <w:left w:val="single" w:color="000000" w:sz="4" w:space="0"/>
              <w:bottom w:val="single" w:color="000000" w:sz="4" w:space="0"/>
              <w:right w:val="single" w:color="000000" w:sz="4" w:space="0"/>
            </w:tcBorders>
            <w:tcW w:w="2553" w:type="dxa"/>
            <w:vMerge w:val="restart"/>
            <w:textDirection w:val="lrTb"/>
            <w:noWrap w:val="false"/>
          </w:tcPr>
          <w:p>
            <w:pPr>
              <w:pBdr/>
              <w:spacing/>
              <w:ind/>
              <w:rPr/>
            </w:pPr>
            <w:r>
              <w:t xml:space="preserve">10.4 Curs</w:t>
            </w:r>
            <w:r/>
          </w:p>
        </w:tc>
        <w:tc>
          <w:tcPr>
            <w:shd w:val="clear" w:color="ffffff" w:fill="ffffff"/>
            <w:tcBorders>
              <w:top w:val="single" w:color="000000" w:sz="4" w:space="0"/>
              <w:left w:val="single" w:color="000000" w:sz="4" w:space="0"/>
              <w:bottom w:val="single" w:color="000000" w:sz="4" w:space="0"/>
              <w:right w:val="single" w:color="000000" w:sz="4" w:space="0"/>
            </w:tcBorders>
            <w:tcW w:w="2233" w:type="dxa"/>
            <w:textDirection w:val="lrTb"/>
            <w:noWrap w:val="false"/>
          </w:tcPr>
          <w:p>
            <w:pPr>
              <w:pBdr/>
              <w:spacing/>
              <w:ind/>
              <w:rPr>
                <w:i/>
              </w:rPr>
            </w:pPr>
            <w:r>
              <w:rPr>
                <w:i/>
              </w:rPr>
              <w:t xml:space="preserve">Evaluare finală </w:t>
            </w:r>
            <w:r>
              <w:rPr>
                <w:i/>
              </w:rPr>
            </w:r>
            <w:r>
              <w:rPr>
                <w:i/>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Bdr/>
              <w:spacing/>
              <w:ind/>
              <w:rPr>
                <w:i/>
              </w:rPr>
            </w:pPr>
            <w:r>
              <w:rPr>
                <w:i/>
              </w:rPr>
              <w:t xml:space="preserve">Examen practic și/sau oral </w:t>
            </w:r>
            <w:r>
              <w:rPr>
                <w:i/>
              </w:rPr>
            </w:r>
            <w:r>
              <w:rPr>
                <w:i/>
              </w:rPr>
            </w:r>
          </w:p>
        </w:tc>
        <w:tc>
          <w:tcPr>
            <w:tcBorders>
              <w:top w:val="single" w:color="000000" w:sz="4" w:space="0"/>
              <w:left w:val="single" w:color="000000" w:sz="4" w:space="0"/>
              <w:bottom w:val="single" w:color="000000" w:sz="4" w:space="0"/>
              <w:right w:val="single" w:color="000000" w:sz="4" w:space="0"/>
            </w:tcBorders>
            <w:tcW w:w="1490" w:type="dxa"/>
            <w:textDirection w:val="lrTb"/>
            <w:noWrap w:val="false"/>
          </w:tcPr>
          <w:p>
            <w:pPr>
              <w:pBdr/>
              <w:spacing/>
              <w:ind/>
              <w:rPr/>
            </w:pPr>
            <w:r>
              <w:t xml:space="preserve">60%</w:t>
            </w:r>
            <w:r/>
          </w:p>
        </w:tc>
      </w:tr>
      <w:tr>
        <w:trPr>
          <w:trHeight w:val="554"/>
        </w:trPr>
        <w:tc>
          <w:tcPr>
            <w:tcBorders>
              <w:top w:val="single" w:color="000000" w:sz="4" w:space="0"/>
              <w:left w:val="single" w:color="000000" w:sz="4" w:space="0"/>
              <w:bottom w:val="single" w:color="000000" w:sz="4" w:space="0"/>
              <w:right w:val="single" w:color="000000" w:sz="4" w:space="0"/>
            </w:tcBorders>
            <w:tcW w:w="0" w:type="auto"/>
            <w:vAlign w:val="center"/>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W w:w="0" w:type="auto"/>
            <w:vAlign w:val="center"/>
            <w:vMerge w:val="restart"/>
            <w:textDirection w:val="lrTb"/>
            <w:noWrap w:val="false"/>
          </w:tcPr>
          <w:p>
            <w:pPr>
              <w:pBdr/>
              <w:spacing/>
              <w:ind/>
              <w:rPr>
                <w:i/>
              </w:rPr>
            </w:pPr>
            <w:r>
              <w:rPr>
                <w:i/>
              </w:rPr>
            </w:r>
            <w:r>
              <w:rPr>
                <w:i/>
              </w:rPr>
            </w:r>
            <w:r>
              <w:rPr>
                <w:i/>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Bdr/>
              <w:spacing/>
              <w:ind/>
              <w:rPr>
                <w:i/>
              </w:rPr>
            </w:pPr>
            <w:r>
              <w:rPr>
                <w:i/>
              </w:rPr>
              <w:t xml:space="preserve">Verificarea </w:t>
            </w:r>
            <w:r>
              <w:rPr>
                <w:i/>
              </w:rPr>
              <w:t xml:space="preserve">calităţii</w:t>
            </w:r>
            <w:r>
              <w:rPr>
                <w:i/>
              </w:rPr>
              <w:t xml:space="preserve"> lucrărilor practice realizate pe parcursul semestrului</w:t>
            </w:r>
            <w:r>
              <w:rPr>
                <w:i/>
              </w:rPr>
            </w:r>
            <w:r>
              <w:rPr>
                <w:i/>
              </w:rPr>
            </w:r>
          </w:p>
        </w:tc>
        <w:tc>
          <w:tcPr>
            <w:tcBorders>
              <w:top w:val="single" w:color="000000" w:sz="4" w:space="0"/>
              <w:left w:val="single" w:color="000000" w:sz="4" w:space="0"/>
              <w:bottom w:val="single" w:color="000000" w:sz="4" w:space="0"/>
              <w:right w:val="single" w:color="000000" w:sz="4" w:space="0"/>
            </w:tcBorders>
            <w:tcW w:w="1490" w:type="dxa"/>
            <w:textDirection w:val="lrTb"/>
            <w:noWrap w:val="false"/>
          </w:tcPr>
          <w:p>
            <w:pPr>
              <w:pBdr/>
              <w:spacing/>
              <w:ind/>
              <w:rPr/>
            </w:pPr>
            <w:r>
              <w:rPr>
                <w:lang w:val="en-US"/>
              </w:rPr>
              <w:t xml:space="preserve">20</w:t>
            </w:r>
            <w:r>
              <w:t xml:space="preserve">%</w:t>
            </w:r>
            <w:r/>
          </w:p>
        </w:tc>
      </w:tr>
      <w:tr>
        <w:trPr>
          <w:trHeight w:val="135"/>
        </w:trPr>
        <w:tc>
          <w:tcPr>
            <w:shd w:val="clear" w:color="ffffff" w:fill="ffffff"/>
            <w:tcBorders>
              <w:top w:val="single" w:color="000000" w:sz="4" w:space="0"/>
              <w:left w:val="single" w:color="000000" w:sz="4" w:space="0"/>
              <w:bottom w:val="single" w:color="000000" w:sz="4" w:space="0"/>
              <w:right w:val="single" w:color="000000" w:sz="4" w:space="0"/>
            </w:tcBorders>
            <w:tcW w:w="2553" w:type="dxa"/>
            <w:vMerge w:val="restart"/>
            <w:textDirection w:val="lrTb"/>
            <w:noWrap w:val="false"/>
          </w:tcPr>
          <w:p>
            <w:pPr>
              <w:pBdr/>
              <w:spacing/>
              <w:ind/>
              <w:rPr/>
            </w:pPr>
            <w:r>
              <w:t xml:space="preserve">10.5 Seminar/laborator</w:t>
            </w:r>
            <w:r/>
          </w:p>
        </w:tc>
        <w:tc>
          <w:tcPr>
            <w:shd w:val="clear" w:color="ffffff" w:fill="ffffff"/>
            <w:tcBorders>
              <w:top w:val="single" w:color="000000" w:sz="4" w:space="0"/>
              <w:left w:val="single" w:color="000000" w:sz="4" w:space="0"/>
              <w:bottom w:val="single" w:color="000000" w:sz="4" w:space="0"/>
              <w:right w:val="single" w:color="000000" w:sz="4" w:space="0"/>
            </w:tcBorders>
            <w:tcW w:w="2233" w:type="dxa"/>
            <w:vMerge w:val="restart"/>
            <w:textDirection w:val="lrTb"/>
            <w:noWrap w:val="false"/>
          </w:tcPr>
          <w:p>
            <w:pPr>
              <w:pBdr/>
              <w:spacing/>
              <w:ind/>
              <w:rPr>
                <w:i/>
              </w:rPr>
            </w:pPr>
            <w:r>
              <w:rPr>
                <w:i/>
              </w:rPr>
              <w:t xml:space="preserve">Evaluare pe parcurs</w:t>
            </w:r>
            <w:r>
              <w:rPr>
                <w:i/>
              </w:rPr>
            </w:r>
            <w:r>
              <w:rPr>
                <w:i/>
              </w:rPr>
            </w:r>
          </w:p>
          <w:p>
            <w:pPr>
              <w:pBdr/>
              <w:spacing/>
              <w:ind/>
              <w:rPr>
                <w:i/>
              </w:rPr>
            </w:pPr>
            <w:r>
              <w:rPr>
                <w:i/>
              </w:rPr>
            </w:r>
            <w:r>
              <w:rPr>
                <w:i/>
              </w:rPr>
            </w:r>
            <w:r>
              <w:rPr>
                <w:i/>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Bdr/>
              <w:spacing/>
              <w:ind/>
              <w:rPr>
                <w:i/>
              </w:rPr>
            </w:pPr>
            <w:r>
              <w:rPr>
                <w:i/>
              </w:rPr>
              <w:t xml:space="preserve">Verificarea </w:t>
            </w:r>
            <w:r>
              <w:rPr>
                <w:i/>
              </w:rPr>
              <w:t xml:space="preserve">prezenţei</w:t>
            </w:r>
            <w:r>
              <w:rPr>
                <w:i/>
              </w:rPr>
              <w:t xml:space="preserve"> </w:t>
            </w:r>
            <w:r>
              <w:rPr>
                <w:i/>
              </w:rPr>
              <w:t xml:space="preserve">şi</w:t>
            </w:r>
            <w:r>
              <w:rPr>
                <w:i/>
              </w:rPr>
              <w:t xml:space="preserve"> a implicării în </w:t>
            </w:r>
            <w:r>
              <w:rPr>
                <w:i/>
              </w:rPr>
              <w:t xml:space="preserve">activităţile</w:t>
            </w:r>
            <w:r>
              <w:rPr>
                <w:i/>
              </w:rPr>
              <w:t xml:space="preserve"> de seminar semestriale</w:t>
            </w:r>
            <w:r>
              <w:rPr>
                <w:i/>
              </w:rPr>
            </w:r>
            <w:r>
              <w:rPr>
                <w:i/>
              </w:rPr>
            </w:r>
          </w:p>
        </w:tc>
        <w:tc>
          <w:tcPr>
            <w:tcBorders>
              <w:top w:val="single" w:color="000000" w:sz="4" w:space="0"/>
              <w:left w:val="single" w:color="000000" w:sz="4" w:space="0"/>
              <w:bottom w:val="single" w:color="000000" w:sz="4" w:space="0"/>
              <w:right w:val="single" w:color="000000" w:sz="4" w:space="0"/>
            </w:tcBorders>
            <w:tcW w:w="1490" w:type="dxa"/>
            <w:textDirection w:val="lrTb"/>
            <w:noWrap w:val="false"/>
          </w:tcPr>
          <w:p>
            <w:pPr>
              <w:pBdr/>
              <w:spacing/>
              <w:ind/>
              <w:rPr/>
            </w:pPr>
            <w:r>
              <w:rPr>
                <w:lang w:val="en-US"/>
              </w:rPr>
              <w:t xml:space="preserve">2</w:t>
            </w:r>
            <w:r>
              <w:t xml:space="preserve">0%</w:t>
            </w:r>
            <w:r/>
          </w:p>
        </w:tc>
      </w:tr>
      <w:tr>
        <w:trPr/>
        <w:tc>
          <w:tcPr>
            <w:gridSpan w:val="4"/>
            <w:tcBorders>
              <w:top w:val="single" w:color="000000" w:sz="4" w:space="0"/>
              <w:left w:val="single" w:color="000000" w:sz="4" w:space="0"/>
              <w:bottom w:val="single" w:color="000000" w:sz="4" w:space="0"/>
              <w:right w:val="single" w:color="000000" w:sz="4" w:space="0"/>
            </w:tcBorders>
            <w:tcW w:w="9962" w:type="dxa"/>
            <w:textDirection w:val="lrTb"/>
            <w:noWrap w:val="false"/>
          </w:tcPr>
          <w:p>
            <w:pPr>
              <w:pBdr/>
              <w:spacing/>
              <w:ind/>
              <w:rPr/>
            </w:pPr>
            <w:r>
              <w:t xml:space="preserve">10.6 Standard minim de </w:t>
            </w:r>
            <w:r>
              <w:t xml:space="preserve">performanţă</w:t>
            </w:r>
            <w:r>
              <w:t xml:space="preserve">: identificarea perioadelor succesive în dezvoltarea unei fami</w:t>
            </w:r>
            <w:r>
              <w:t xml:space="preserve">lii și a formulelor de mărturie și educație creștină în familie; cunoașterea formelor în care familia poate promova cunoașterea teologică și viața creștină; cunoașterea alternativelor la familia creștină și a elementelor de apologetică a familiei creștine.</w:t>
            </w:r>
            <w:r>
              <w:rPr>
                <w:lang w:val="ro-RO"/>
              </w:rPr>
              <w:t xml:space="preserve">.</w:t>
            </w:r>
            <w:r>
              <w:rPr>
                <w:lang w:val="en-US"/>
              </w:rPr>
              <w:t xml:space="preserve">.</w:t>
            </w:r>
            <w:r/>
          </w:p>
        </w:tc>
      </w:tr>
    </w:tbl>
    <w:p>
      <w:pPr>
        <w:pBdr/>
        <w:spacing/>
        <w:ind/>
        <w:jc w:val="center"/>
        <w:rPr>
          <w:sz w:val="12"/>
          <w:szCs w:val="16"/>
        </w:rPr>
      </w:pPr>
      <w:r>
        <w:rPr>
          <w:sz w:val="12"/>
          <w:szCs w:val="16"/>
        </w:rPr>
      </w:r>
      <w:r>
        <w:rPr>
          <w:sz w:val="12"/>
          <w:szCs w:val="16"/>
        </w:rPr>
      </w:r>
      <w:r>
        <w:rPr>
          <w:sz w:val="12"/>
          <w:szCs w:val="16"/>
        </w:rPr>
      </w:r>
    </w:p>
    <w:p>
      <w:pPr>
        <w:pBdr/>
        <w:tabs>
          <w:tab w:val="center" w:leader="none" w:pos="4873"/>
        </w:tabs>
        <w:spacing/>
        <w:ind/>
        <w:rPr/>
      </w:pPr>
      <w:r>
        <w:t xml:space="preserve">          </w:t>
      </w:r>
      <w:r>
        <w:rPr>
          <w:lang w:val="en-US"/>
        </w:rPr>
        <w:t xml:space="preserve">  </w:t>
      </w:r>
      <w:r/>
    </w:p>
    <w:p>
      <w:pPr>
        <w:pBdr/>
        <w:spacing/>
        <w:ind/>
        <w:rPr>
          <w:highlight w:val="none"/>
        </w:rPr>
      </w:pPr>
      <w:r>
        <w:rPr>
          <w:lang w:val="en-US"/>
        </w:rPr>
        <w:t xml:space="preserve">     </w:t>
      </w:r>
      <w:r>
        <w:t xml:space="preserve">  </w:t>
      </w:r>
      <w:r>
        <w:rPr>
          <w:lang w:val="en-US"/>
        </w:rPr>
        <w:t xml:space="preserve">  </w:t>
      </w:r>
      <w:r>
        <w:t xml:space="preserve">Data completării</w:t>
      </w:r>
      <w:r>
        <w:tab/>
        <w:t xml:space="preserve">                                      Semnătura titularului de curs</w:t>
      </w:r>
      <w:r>
        <w:rPr>
          <w:highlight w:val="none"/>
        </w:rPr>
      </w:r>
      <w:r>
        <w:rPr>
          <w:highlight w:val="none"/>
        </w:rPr>
      </w:r>
    </w:p>
    <w:p>
      <w:pPr>
        <w:pBdr/>
        <w:spacing/>
        <w:ind/>
        <w:rPr/>
      </w:pPr>
      <w:r>
        <w:rPr>
          <w:highlight w:val="none"/>
        </w:rPr>
        <w:t xml:space="preserve">                                                                                                </w:t>
      </w:r>
      <w:r>
        <w:rPr>
          <w:lang w:val="en-US"/>
        </w:rPr>
        <mc:AlternateContent>
          <mc:Choice Requires="wpg">
            <w:drawing>
              <wp:inline xmlns:wp="http://schemas.openxmlformats.org/drawingml/2006/wordprocessingDrawing" distT="0" distB="0" distL="0" distR="0">
                <wp:extent cx="806450" cy="171450"/>
                <wp:effectExtent l="0" t="0" r="0" b="0"/>
                <wp:docPr id="4" name="Picture 1" descr="D:\on-date-projects\masterat-iunie-24\0-dosar-calitate-ARACIS\anexe-template\semnatura-ob\obs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30354" name="Picture 1" descr="D:\on-date-projects\masterat-iunie-24\0-dosar-calitate-ARACIS\anexe-template\semnatura-ob\obsig3.jpg"/>
                        <pic:cNvPicPr>
                          <a:picLocks noChangeAspect="1"/>
                        </pic:cNvPicPr>
                        <pic:nvPr/>
                      </pic:nvPicPr>
                      <pic:blipFill rotWithShape="1">
                        <a:blip r:embed="rId23"/>
                        <a:stretch/>
                      </pic:blipFill>
                      <pic:spPr bwMode="auto">
                        <a:xfrm rot="0" flipH="0" flipV="0">
                          <a:off x="0" y="0"/>
                          <a:ext cx="806449" cy="171450"/>
                        </a:xfrm>
                        <a:prstGeom prst="rect">
                          <a:avLst/>
                        </a:prstGeom>
                        <a:noFill/>
                        <a:ln w="9525">
                          <a:noFill/>
                          <a:miter lim="800000"/>
                          <a:headEnd/>
                          <a:tailEn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63.50pt;height:13.50pt;mso-wrap-distance-left:0.00pt;mso-wrap-distance-top:0.00pt;mso-wrap-distance-right:0.00pt;mso-wrap-distance-bottom:0.00pt;rotation:0;z-index:1;" stroked="f" strokeweight="0.75pt">
                <v:imagedata r:id="rId23" o:title=""/>
                <o:lock v:ext="edit" rotation="t"/>
              </v:shape>
            </w:pict>
          </mc:Fallback>
        </mc:AlternateContent>
      </w:r>
      <w:r>
        <w:rPr>
          <w:highlight w:val="none"/>
        </w:rPr>
      </w:r>
      <w:r/>
    </w:p>
    <w:p>
      <w:pPr>
        <w:pBdr/>
        <w:spacing/>
        <w:ind/>
        <w:rPr/>
      </w:pPr>
      <w:r>
        <w:t xml:space="preserve">         </w:t>
      </w:r>
      <w:r>
        <w:rPr>
          <w:lang w:val="en-US"/>
        </w:rPr>
        <w:t xml:space="preserve">15</w:t>
      </w:r>
      <w:r>
        <w:t xml:space="preserve">.11</w:t>
      </w:r>
      <w:r>
        <w:t xml:space="preserve">.202</w:t>
      </w:r>
      <w:r>
        <w:rPr>
          <w:lang w:val="en-US"/>
        </w:rPr>
        <w:t xml:space="preserve">4</w:t>
      </w:r>
      <w:r>
        <w:tab/>
      </w:r>
      <w:r>
        <w:tab/>
        <w:t xml:space="preserve">                                     </w:t>
      </w:r>
      <w:r>
        <w:rPr>
          <w:sz w:val="12"/>
        </w:rPr>
      </w:r>
      <w:r/>
    </w:p>
    <w:p>
      <w:pPr>
        <w:pBdr/>
        <w:spacing/>
        <w:ind/>
        <w:rPr>
          <w:highlight w:val="none"/>
        </w:rPr>
      </w:pPr>
      <w:r>
        <w:tab/>
      </w:r>
      <w:r>
        <w:t xml:space="preserve">                                                                         Semnătura titularului de seminar</w:t>
      </w:r>
      <w:r>
        <w:rPr>
          <w:highlight w:val="none"/>
        </w:rPr>
      </w:r>
      <w:r>
        <w:rPr>
          <w:highlight w:val="none"/>
        </w:rPr>
      </w:r>
    </w:p>
    <w:p>
      <w:pPr>
        <w:pBdr/>
        <w:spacing/>
        <w:ind/>
        <w:rPr/>
      </w:pPr>
      <w:r>
        <w:rPr>
          <w:highlight w:val="none"/>
        </w:rPr>
        <w:t xml:space="preserve">                                                                                                  </w:t>
      </w:r>
      <w:r>
        <w:rPr>
          <w:lang w:val="en-US"/>
        </w:rPr>
        <mc:AlternateContent>
          <mc:Choice Requires="wpg">
            <w:drawing>
              <wp:inline xmlns:wp="http://schemas.openxmlformats.org/drawingml/2006/wordprocessingDrawing" distT="0" distB="0" distL="0" distR="0">
                <wp:extent cx="806450" cy="171450"/>
                <wp:effectExtent l="0" t="0" r="0" b="0"/>
                <wp:docPr id="5" name="Picture 1" descr="D:\on-date-projects\masterat-iunie-24\0-dosar-calitate-ARACIS\anexe-template\semnatura-ob\obs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30354" name="Picture 1" descr="D:\on-date-projects\masterat-iunie-24\0-dosar-calitate-ARACIS\anexe-template\semnatura-ob\obsig3.jpg"/>
                        <pic:cNvPicPr>
                          <a:picLocks noChangeAspect="1"/>
                        </pic:cNvPicPr>
                        <pic:nvPr/>
                      </pic:nvPicPr>
                      <pic:blipFill rotWithShape="1">
                        <a:blip r:embed="rId23"/>
                        <a:stretch/>
                      </pic:blipFill>
                      <pic:spPr bwMode="auto">
                        <a:xfrm rot="0" flipH="0" flipV="0">
                          <a:off x="0" y="0"/>
                          <a:ext cx="806449" cy="171450"/>
                        </a:xfrm>
                        <a:prstGeom prst="rect">
                          <a:avLst/>
                        </a:prstGeom>
                        <a:noFill/>
                        <a:ln w="9525">
                          <a:noFill/>
                          <a:miter lim="800000"/>
                          <a:headEnd/>
                          <a:tailEn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63.50pt;height:13.50pt;mso-wrap-distance-left:0.00pt;mso-wrap-distance-top:0.00pt;mso-wrap-distance-right:0.00pt;mso-wrap-distance-bottom:0.00pt;rotation:0;z-index:1;" stroked="f" strokeweight="0.75pt">
                <v:imagedata r:id="rId23" o:title=""/>
                <o:lock v:ext="edit" rotation="t"/>
              </v:shape>
            </w:pict>
          </mc:Fallback>
        </mc:AlternateContent>
      </w:r>
      <w:r>
        <w:t xml:space="preserve">                                                        </w:t>
      </w:r>
      <w:r/>
    </w:p>
    <w:p>
      <w:pPr>
        <w:pBdr/>
        <w:tabs>
          <w:tab w:val="center" w:leader="none" w:pos="4873"/>
        </w:tabs>
        <w:spacing/>
        <w:ind w:firstLine="708"/>
        <w:rPr>
          <w:sz w:val="12"/>
        </w:rPr>
      </w:pPr>
      <w:r>
        <w:t xml:space="preserve">  </w:t>
      </w:r>
      <w:r>
        <w:rPr>
          <w:sz w:val="12"/>
        </w:rPr>
        <w:tab/>
      </w:r>
      <w:r>
        <w:rPr>
          <w:sz w:val="12"/>
        </w:rPr>
      </w:r>
      <w:r>
        <w:rPr>
          <w:sz w:val="12"/>
        </w:rPr>
      </w:r>
    </w:p>
    <w:p>
      <w:pPr>
        <w:pBdr/>
        <w:spacing/>
        <w:ind/>
        <w:rPr>
          <w:highlight w:val="none"/>
        </w:rPr>
      </w:pPr>
      <w:r>
        <w:t xml:space="preserve">        Data avizării în departament</w:t>
      </w:r>
      <w:r>
        <w:tab/>
      </w:r>
      <w:r>
        <w:tab/>
        <w:t xml:space="preserve">             Semnătura directorului de departament</w:t>
      </w:r>
      <w:r>
        <w:tab/>
      </w:r>
      <w:r>
        <w:rPr>
          <w:highlight w:val="none"/>
        </w:rPr>
      </w:r>
      <w:r>
        <w:rPr>
          <w:highlight w:val="none"/>
        </w:rPr>
      </w:r>
    </w:p>
    <w:p>
      <w:pPr>
        <w:pBdr/>
        <w:spacing/>
        <w:ind/>
        <w:rPr>
          <w:highlight w:val="none"/>
        </w:rPr>
      </w:pPr>
      <w:r>
        <w:rPr>
          <w:highlight w:val="none"/>
        </w:rPr>
        <w:t xml:space="preserve">         21.11.2024                                                                       </w:t>
      </w:r>
      <w:r>
        <w:rPr>
          <w:lang w:val="en-US"/>
        </w:rPr>
        <mc:AlternateContent>
          <mc:Choice Requires="wpg">
            <w:drawing>
              <wp:inline xmlns:wp="http://schemas.openxmlformats.org/drawingml/2006/wordprocessingDrawing" distT="0" distB="0" distL="0" distR="0">
                <wp:extent cx="806450" cy="171450"/>
                <wp:effectExtent l="0" t="0" r="0" b="0"/>
                <wp:docPr id="6" name="Picture 1" descr="D:\on-date-projects\masterat-iunie-24\0-dosar-calitate-ARACIS\anexe-template\semnatura-ob\obs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30354" name="Picture 1" descr="D:\on-date-projects\masterat-iunie-24\0-dosar-calitate-ARACIS\anexe-template\semnatura-ob\obsig3.jpg"/>
                        <pic:cNvPicPr>
                          <a:picLocks noChangeAspect="1"/>
                        </pic:cNvPicPr>
                        <pic:nvPr/>
                      </pic:nvPicPr>
                      <pic:blipFill rotWithShape="1">
                        <a:blip r:embed="rId23"/>
                        <a:stretch/>
                      </pic:blipFill>
                      <pic:spPr bwMode="auto">
                        <a:xfrm rot="0" flipH="0" flipV="0">
                          <a:off x="0" y="0"/>
                          <a:ext cx="806449" cy="171450"/>
                        </a:xfrm>
                        <a:prstGeom prst="rect">
                          <a:avLst/>
                        </a:prstGeom>
                        <a:noFill/>
                        <a:ln w="9525">
                          <a:noFill/>
                          <a:miter lim="800000"/>
                          <a:headEnd/>
                          <a:tailEn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63.50pt;height:13.50pt;mso-wrap-distance-left:0.00pt;mso-wrap-distance-top:0.00pt;mso-wrap-distance-right:0.00pt;mso-wrap-distance-bottom:0.00pt;rotation:0;z-index:1;" stroked="f" strokeweight="0.75pt">
                <v:imagedata r:id="rId23" o:title=""/>
                <o:lock v:ext="edit" rotation="t"/>
              </v:shape>
            </w:pict>
          </mc:Fallback>
        </mc:AlternateContent>
      </w:r>
      <w:r>
        <w:rPr>
          <w:highlight w:val="none"/>
        </w:rPr>
      </w:r>
      <w:r>
        <w:rPr>
          <w:highlight w:val="none"/>
        </w:rPr>
      </w:r>
    </w:p>
    <w:sectPr>
      <w:headerReference w:type="default" r:id="rId9"/>
      <w:headerReference w:type="even" r:id="rId10"/>
      <w:headerReference w:type="first" r:id="rId11"/>
      <w:footerReference w:type="default" r:id="rId12"/>
      <w:footerReference w:type="even" r:id="rId13"/>
      <w:footerReference w:type="first" r:id="rId14"/>
      <w:footnotePr/>
      <w:endnotePr/>
      <w:type w:val="continuous"/>
      <w:pgSz w:h="16840" w:orient="portrait" w:w="11907"/>
      <w:pgMar w:top="567" w:right="567" w:bottom="180" w:left="1418" w:header="567"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ntium">
    <w:panose1 w:val="02000503060000020004"/>
  </w:font>
  <w:font w:name="Cambria">
    <w:panose1 w:val="02040503050406030204"/>
  </w:font>
  <w:font w:name="Liberation Sans-Italic-Bold">
    <w:panose1 w:val="020B0604020202020204"/>
  </w:font>
  <w:font w:name="Arial-Italic-Bold">
    <w:panose1 w:val="020B0604020202020204"/>
  </w:font>
  <w:font w:name="Albertus Medium">
    <w:panose1 w:val="020E0602030304020304"/>
  </w:font>
  <w:font w:name="Wingdings">
    <w:panose1 w:val="05000000000000000000"/>
  </w:font>
  <w:font w:name="Courier New">
    <w:panose1 w:val="02070309020205020404"/>
  </w:font>
  <w:font w:name="Symbol">
    <w:panose1 w:val="05050102010706020507"/>
  </w:font>
  <w:font w:name="Tahoma">
    <w:panose1 w:val="020B0604030504040204"/>
  </w:font>
  <w:font w:name="Arial">
    <w:panose1 w:val="020B0604020202020204"/>
  </w:font>
  <w:font w:name="Times New Roman">
    <w:panose1 w:val="02020603050405020304"/>
  </w:font>
  <w:font w:name="Calibri">
    <w:panose1 w:val="020F0502020204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6"/>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6"/>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6"/>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left="851"/>
      <w:rPr>
        <w:rFonts w:ascii="Arial" w:hAnsi="Arial" w:cs="Arial"/>
        <w:b/>
        <w:bCs/>
        <w:color w:val="000041"/>
        <w:sz w:val="30"/>
        <w:szCs w:val="30"/>
      </w:rPr>
    </w:pPr>
    <w:r>
      <w:rPr>
        <w:b/>
        <w:bCs/>
        <w:color w:val="000041"/>
        <w:sz w:val="30"/>
        <w:szCs w:val="30"/>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0" locked="0" layoutInCell="1" allowOverlap="1">
              <wp:simplePos x="0" y="0"/>
              <wp:positionH relativeFrom="column">
                <wp:posOffset>-477520</wp:posOffset>
              </wp:positionH>
              <wp:positionV relativeFrom="paragraph">
                <wp:posOffset>-3810</wp:posOffset>
              </wp:positionV>
              <wp:extent cx="918845" cy="914400"/>
              <wp:effectExtent l="0" t="0" r="0" b="0"/>
              <wp:wrapNone/>
              <wp:docPr id="1" name="Imagine 1" descr="SIGLA FINALA 3x3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SIGLA FINALA 3x3cm"/>
                      <pic:cNvPicPr>
                        <a:picLocks noChangeAspect="1"/>
                      </pic:cNvPicPr>
                      <pic:nvPr/>
                    </pic:nvPicPr>
                    <pic:blipFill rotWithShape="1">
                      <a:blip r:embed="rId1"/>
                      <a:stretch/>
                    </pic:blipFill>
                    <pic:spPr bwMode="auto">
                      <a:xfrm>
                        <a:off x="0" y="0"/>
                        <a:ext cx="918845" cy="914400"/>
                      </a:xfrm>
                      <a:prstGeom prst="rect">
                        <a:avLst/>
                      </a:prstGeom>
                      <a:noFill/>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752;o:allowoverlap:true;o:allowincell:true;mso-position-horizontal-relative:text;margin-left:-37.60pt;mso-position-horizontal:absolute;mso-position-vertical-relative:text;margin-top:-0.30pt;mso-position-vertical:absolute;width:72.35pt;height:72.00pt;mso-wrap-distance-left:9.00pt;mso-wrap-distance-top:0.00pt;mso-wrap-distance-right:9.00pt;mso-wrap-distance-bottom:0.00pt;z-index:1;" stroked="false">
              <v:imagedata r:id="rId1" o:title=""/>
              <o:lock v:ext="edit" rotation="t"/>
            </v:shape>
          </w:pict>
        </mc:Fallback>
      </mc:AlternateContent>
    </w:r>
    <w:r>
      <w:rPr>
        <w:rFonts w:ascii="Arial" w:hAnsi="Arial" w:cs="Arial"/>
        <w:b/>
        <w:bCs/>
        <w:color w:val="000041"/>
        <w:sz w:val="30"/>
        <w:szCs w:val="30"/>
      </w:rPr>
      <w:t xml:space="preserve">INSTITUTUL TEOLOGIC BAPTIST DIN BUCUREŞTI</w:t>
    </w:r>
    <w:r>
      <w:rPr>
        <w:rFonts w:ascii="Arial" w:hAnsi="Arial" w:cs="Arial"/>
        <w:b/>
        <w:bCs/>
        <w:color w:val="000041"/>
        <w:sz w:val="30"/>
        <w:szCs w:val="30"/>
      </w:rPr>
    </w:r>
    <w:r>
      <w:rPr>
        <w:rFonts w:ascii="Arial" w:hAnsi="Arial" w:cs="Arial"/>
        <w:b/>
        <w:bCs/>
        <w:color w:val="000041"/>
        <w:sz w:val="30"/>
        <w:szCs w:val="30"/>
      </w:rPr>
    </w:r>
  </w:p>
  <w:p>
    <w:pPr>
      <w:pBdr/>
      <w:spacing/>
      <w:ind w:left="851"/>
      <w:rPr>
        <w:rFonts w:ascii="Arial" w:hAnsi="Arial" w:cs="Arial"/>
        <w:b/>
        <w:iCs/>
        <w:color w:val="000041"/>
        <w:sz w:val="24"/>
        <w:szCs w:val="24"/>
      </w:rPr>
    </w:pPr>
    <w:r>
      <w:rPr>
        <w:rFonts w:ascii="Arial" w:hAnsi="Arial" w:cs="Arial"/>
        <w:b/>
        <w:iCs/>
        <w:color w:val="000041"/>
      </w:rPr>
      <w:t xml:space="preserve">Facultatea de Teologie Baptistă – Departamentul de Teologie Baptistă Pastorală</w:t>
    </w:r>
    <w:r>
      <w:rPr>
        <w:rFonts w:ascii="Arial" w:hAnsi="Arial" w:cs="Arial"/>
        <w:b/>
        <w:iCs/>
        <w:color w:val="000041"/>
        <w:sz w:val="24"/>
        <w:szCs w:val="24"/>
      </w:rPr>
    </w:r>
    <w:r>
      <w:rPr>
        <w:rFonts w:ascii="Arial" w:hAnsi="Arial" w:cs="Arial"/>
        <w:b/>
        <w:iCs/>
        <w:color w:val="000041"/>
        <w:sz w:val="24"/>
        <w:szCs w:val="24"/>
      </w:rPr>
    </w:r>
  </w:p>
  <w:p>
    <w:pPr>
      <w:pBdr/>
      <w:spacing w:before="60"/>
      <w:ind w:left="851"/>
      <w:rPr>
        <w:rFonts w:ascii="Arial" w:hAnsi="Arial" w:cs="Arial"/>
        <w:color w:val="000041"/>
        <w:sz w:val="18"/>
        <w:szCs w:val="18"/>
      </w:rPr>
    </w:pPr>
    <w:r>
      <w:rPr>
        <w:rFonts w:ascii="Arial" w:hAnsi="Arial" w:cs="Arial"/>
        <w:color w:val="000041"/>
        <w:sz w:val="18"/>
        <w:szCs w:val="18"/>
      </w:rPr>
      <w:t xml:space="preserve">Str. Berzei, nr.29, sector 1, 010251, </w:t>
    </w:r>
    <w:r>
      <w:rPr>
        <w:rFonts w:ascii="Arial" w:hAnsi="Arial" w:cs="Arial"/>
        <w:color w:val="000041"/>
        <w:sz w:val="18"/>
        <w:szCs w:val="18"/>
      </w:rPr>
      <w:t xml:space="preserve">Bucureşti</w:t>
    </w:r>
    <w:r>
      <w:rPr>
        <w:rFonts w:ascii="Arial" w:hAnsi="Arial" w:cs="Arial"/>
        <w:color w:val="000041"/>
        <w:sz w:val="18"/>
        <w:szCs w:val="18"/>
      </w:rPr>
      <w:t xml:space="preserve">; Cod fiscal: 4528379</w:t>
    </w:r>
    <w:r>
      <w:rPr>
        <w:rFonts w:ascii="Arial" w:hAnsi="Arial" w:cs="Arial"/>
        <w:color w:val="000041"/>
        <w:sz w:val="18"/>
        <w:szCs w:val="18"/>
      </w:rPr>
    </w:r>
    <w:r>
      <w:rPr>
        <w:rFonts w:ascii="Arial" w:hAnsi="Arial" w:cs="Arial"/>
        <w:color w:val="000041"/>
        <w:sz w:val="18"/>
        <w:szCs w:val="18"/>
      </w:rPr>
    </w:r>
  </w:p>
  <w:p>
    <w:pPr>
      <w:pBdr/>
      <w:tabs>
        <w:tab w:val="left" w:leader="none" w:pos="1530"/>
      </w:tabs>
      <w:spacing/>
      <w:ind w:left="851"/>
      <w:rPr>
        <w:rFonts w:ascii="Arial" w:hAnsi="Arial" w:cs="Arial"/>
        <w:color w:val="000041"/>
        <w:sz w:val="18"/>
        <w:szCs w:val="18"/>
      </w:rPr>
    </w:pPr>
    <w:r>
      <w:rPr>
        <w:rFonts w:ascii="Arial" w:hAnsi="Arial" w:cs="Arial"/>
        <w:color w:val="000041"/>
        <w:sz w:val="18"/>
        <w:szCs w:val="18"/>
      </w:rPr>
      <w:t xml:space="preserve">RO52 RZBR 0000 0600 1034 5768; SWIFT: RZBR ROBU,  Raiffeisen Bank, Suc. </w:t>
    </w:r>
    <w:r>
      <w:rPr>
        <w:rFonts w:ascii="Arial" w:hAnsi="Arial" w:cs="Arial"/>
        <w:color w:val="000041"/>
        <w:sz w:val="18"/>
        <w:szCs w:val="18"/>
      </w:rPr>
      <w:t xml:space="preserve">Stirbei</w:t>
    </w:r>
    <w:r>
      <w:rPr>
        <w:rFonts w:ascii="Arial" w:hAnsi="Arial" w:cs="Arial"/>
        <w:color w:val="000041"/>
        <w:sz w:val="18"/>
        <w:szCs w:val="18"/>
      </w:rPr>
      <w:t xml:space="preserve"> Vodă, Sect.1, </w:t>
    </w:r>
    <w:r>
      <w:rPr>
        <w:rFonts w:ascii="Arial" w:hAnsi="Arial" w:cs="Arial"/>
        <w:color w:val="000041"/>
        <w:sz w:val="18"/>
        <w:szCs w:val="18"/>
      </w:rPr>
      <w:t xml:space="preserve">Bucuresti</w:t>
    </w:r>
    <w:r>
      <w:rPr>
        <w:rFonts w:ascii="Arial" w:hAnsi="Arial" w:cs="Arial"/>
        <w:color w:val="000041"/>
        <w:sz w:val="18"/>
        <w:szCs w:val="18"/>
      </w:rPr>
    </w:r>
    <w:r>
      <w:rPr>
        <w:rFonts w:ascii="Arial" w:hAnsi="Arial" w:cs="Arial"/>
        <w:color w:val="000041"/>
        <w:sz w:val="18"/>
        <w:szCs w:val="18"/>
      </w:rPr>
    </w:r>
  </w:p>
  <w:p>
    <w:pPr>
      <w:pBdr/>
      <w:tabs>
        <w:tab w:val="left" w:leader="none" w:pos="1530"/>
      </w:tabs>
      <w:spacing/>
      <w:ind w:left="851"/>
      <w:rPr>
        <w:rFonts w:ascii="Arial" w:hAnsi="Arial" w:cs="Arial"/>
        <w:color w:val="000041"/>
        <w:sz w:val="18"/>
        <w:szCs w:val="18"/>
        <w:lang w:val="en-GB"/>
      </w:rPr>
    </w:pPr>
    <w:r>
      <w:rPr>
        <w:rFonts w:ascii="Arial" w:hAnsi="Arial" w:cs="Arial"/>
        <w:color w:val="000041"/>
        <w:sz w:val="18"/>
        <w:szCs w:val="18"/>
      </w:rPr>
      <w:t xml:space="preserve">Tel. 021-3159108,  Fax 021-3181593,  E-mail: </w:t>
    </w:r>
    <w:hyperlink r:id="rId2" w:tooltip="mailto:office@itb.ro" w:history="1">
      <w:r>
        <w:rPr>
          <w:rStyle w:val="1131"/>
          <w:rFonts w:ascii="Arial" w:hAnsi="Arial" w:cs="Arial"/>
          <w:color w:val="000041"/>
          <w:sz w:val="18"/>
          <w:szCs w:val="18"/>
          <w:u w:val="none"/>
        </w:rPr>
        <w:t xml:space="preserve">office@itb.ro</w:t>
      </w:r>
    </w:hyperlink>
    <w:r>
      <w:rPr>
        <w:rFonts w:ascii="Arial" w:hAnsi="Arial" w:cs="Arial"/>
        <w:color w:val="000041"/>
        <w:sz w:val="18"/>
        <w:szCs w:val="18"/>
      </w:rPr>
      <w:t xml:space="preserve">,  www.itb.ro  </w:t>
    </w:r>
    <w:r>
      <w:rPr>
        <w:rFonts w:ascii="Arial" w:hAnsi="Arial" w:cs="Arial"/>
        <w:color w:val="000041"/>
        <w:sz w:val="18"/>
        <w:szCs w:val="18"/>
        <w:lang w:val="en-GB"/>
      </w:rPr>
    </w:r>
    <w:r>
      <w:rPr>
        <w:rFonts w:ascii="Arial" w:hAnsi="Arial" w:cs="Arial"/>
        <w:color w:val="000041"/>
        <w:sz w:val="18"/>
        <w:szCs w:val="18"/>
        <w:lang w:val="en-GB"/>
      </w:rPr>
    </w:r>
  </w:p>
  <w:p>
    <w:pPr>
      <w:pBdr/>
      <w:tabs>
        <w:tab w:val="left" w:leader="none" w:pos="1530"/>
      </w:tabs>
      <w:spacing/>
      <w:ind w:left="851"/>
      <w:rPr>
        <w:rFonts w:ascii="Arial" w:hAnsi="Arial" w:cs="Arial"/>
        <w:color w:val="000041"/>
        <w:sz w:val="18"/>
        <w:szCs w:val="18"/>
      </w:rPr>
    </w:pPr>
    <w:r>
      <w:rPr>
        <w:rFonts w:ascii="Arial" w:hAnsi="Arial" w:cs="Arial"/>
        <w:color w:val="000041"/>
        <w:sz w:val="18"/>
        <w:szCs w:val="18"/>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57728" behindDoc="0" locked="0" layoutInCell="1" allowOverlap="1">
              <wp:simplePos x="0" y="0"/>
              <wp:positionH relativeFrom="column">
                <wp:posOffset>-342900</wp:posOffset>
              </wp:positionH>
              <wp:positionV relativeFrom="paragraph">
                <wp:posOffset>72390</wp:posOffset>
              </wp:positionV>
              <wp:extent cx="685800" cy="228600"/>
              <wp:effectExtent l="0" t="0" r="0" b="3810"/>
              <wp:wrapNone/>
              <wp:docPr id="2" name="Dreptunghi 3"/>
              <wp:cNvGraphicFramePr/>
              <a:graphic xmlns:a="http://schemas.openxmlformats.org/drawingml/2006/main">
                <a:graphicData uri="http://schemas.microsoft.com/office/word/2010/wordprocessingShape">
                  <wps:wsp>
                    <wps:cNvPr id="0" name=""/>
                    <wps:cNvSpPr>
                      <a:spLocks noChangeArrowheads="1"/>
                    </wps:cNvSpPr>
                    <wps:spPr bwMode="auto">
                      <a:xfrm>
                        <a:off x="0" y="0"/>
                        <a:ext cx="685800" cy="228600"/>
                      </a:xfrm>
                      <a:prstGeom prst="rect">
                        <a:avLst/>
                      </a:prstGeom>
                      <a:noFill/>
                      <a:ln>
                        <a:noFill/>
                      </a:ln>
                    </wps:spPr>
                    <wps:txbx>
                      <w:txbxContent>
                        <w:p>
                          <w:pPr>
                            <w:pBdr/>
                            <w:spacing/>
                            <w:ind/>
                            <w:jc w:val="center"/>
                            <w:rPr>
                              <w:rFonts w:ascii="Calibri" w:hAnsi="Calibri"/>
                              <w:b/>
                              <w:i/>
                              <w:iCs/>
                              <w:color w:val="000041"/>
                              <w:sz w:val="14"/>
                              <w:szCs w:val="16"/>
                            </w:rPr>
                          </w:pPr>
                          <w:r>
                            <w:rPr>
                              <w:rFonts w:ascii="Calibri" w:hAnsi="Calibri"/>
                              <w:b/>
                              <w:i/>
                              <w:iCs/>
                              <w:color w:val="000041"/>
                              <w:sz w:val="14"/>
                              <w:szCs w:val="16"/>
                            </w:rPr>
                            <w:t xml:space="preserve">fondat 1921</w:t>
                          </w:r>
                          <w:r>
                            <w:rPr>
                              <w:rFonts w:ascii="Calibri" w:hAnsi="Calibri"/>
                              <w:b/>
                              <w:i/>
                              <w:iCs/>
                              <w:color w:val="000041"/>
                              <w:sz w:val="14"/>
                              <w:szCs w:val="16"/>
                            </w:rPr>
                          </w:r>
                          <w:r>
                            <w:rPr>
                              <w:rFonts w:ascii="Calibri" w:hAnsi="Calibri"/>
                              <w:b/>
                              <w:i/>
                              <w:iCs/>
                              <w:color w:val="000041"/>
                              <w:sz w:val="14"/>
                              <w:szCs w:val="16"/>
                            </w:rPr>
                          </w:r>
                        </w:p>
                        <w:p>
                          <w:pPr>
                            <w:pBdr/>
                            <w:spacing/>
                            <w:ind/>
                            <w:jc w:val="center"/>
                            <w:rPr>
                              <w:sz w:val="22"/>
                              <w:szCs w:val="24"/>
                              <w:lang w:val="en-GB"/>
                            </w:rPr>
                          </w:pPr>
                          <w:r>
                            <w:rPr>
                              <w:sz w:val="22"/>
                              <w:szCs w:val="24"/>
                              <w:lang w:val="en-GB"/>
                            </w:rPr>
                          </w:r>
                          <w:r>
                            <w:rPr>
                              <w:sz w:val="22"/>
                              <w:szCs w:val="24"/>
                              <w:lang w:val="en-GB"/>
                            </w:rPr>
                          </w:r>
                          <w:r>
                            <w:rPr>
                              <w:sz w:val="22"/>
                              <w:szCs w:val="24"/>
                              <w:lang w:val="en-GB"/>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1" type="#_x0000_t1" style="position:absolute;z-index:251657728;o:allowoverlap:true;o:allowincell:true;mso-position-horizontal-relative:text;margin-left:-27.00pt;mso-position-horizontal:absolute;mso-position-vertical-relative:text;margin-top:5.70pt;mso-position-vertical:absolute;width:54.00pt;height:18.00pt;mso-wrap-distance-left:9.00pt;mso-wrap-distance-top:0.00pt;mso-wrap-distance-right:9.00pt;mso-wrap-distance-bottom:0.00pt;v-text-anchor:top;visibility:visible;" filled="f" stroked="f">
              <v:textbox inset="0,0,0,0">
                <w:txbxContent>
                  <w:p>
                    <w:pPr>
                      <w:pBdr/>
                      <w:spacing/>
                      <w:ind/>
                      <w:jc w:val="center"/>
                      <w:rPr>
                        <w:rFonts w:ascii="Calibri" w:hAnsi="Calibri"/>
                        <w:b/>
                        <w:i/>
                        <w:iCs/>
                        <w:color w:val="000041"/>
                        <w:sz w:val="14"/>
                        <w:szCs w:val="16"/>
                      </w:rPr>
                    </w:pPr>
                    <w:r>
                      <w:rPr>
                        <w:rFonts w:ascii="Calibri" w:hAnsi="Calibri"/>
                        <w:b/>
                        <w:i/>
                        <w:iCs/>
                        <w:color w:val="000041"/>
                        <w:sz w:val="14"/>
                        <w:szCs w:val="16"/>
                      </w:rPr>
                      <w:t xml:space="preserve">fondat 1921</w:t>
                    </w:r>
                    <w:r>
                      <w:rPr>
                        <w:rFonts w:ascii="Calibri" w:hAnsi="Calibri"/>
                        <w:b/>
                        <w:i/>
                        <w:iCs/>
                        <w:color w:val="000041"/>
                        <w:sz w:val="14"/>
                        <w:szCs w:val="16"/>
                      </w:rPr>
                    </w:r>
                    <w:r>
                      <w:rPr>
                        <w:rFonts w:ascii="Calibri" w:hAnsi="Calibri"/>
                        <w:b/>
                        <w:i/>
                        <w:iCs/>
                        <w:color w:val="000041"/>
                        <w:sz w:val="14"/>
                        <w:szCs w:val="16"/>
                      </w:rPr>
                    </w:r>
                  </w:p>
                  <w:p>
                    <w:pPr>
                      <w:pBdr/>
                      <w:spacing/>
                      <w:ind/>
                      <w:jc w:val="center"/>
                      <w:rPr>
                        <w:sz w:val="22"/>
                        <w:szCs w:val="24"/>
                        <w:lang w:val="en-GB"/>
                      </w:rPr>
                    </w:pPr>
                    <w:r>
                      <w:rPr>
                        <w:sz w:val="22"/>
                        <w:szCs w:val="24"/>
                        <w:lang w:val="en-GB"/>
                      </w:rPr>
                    </w:r>
                    <w:r>
                      <w:rPr>
                        <w:sz w:val="22"/>
                        <w:szCs w:val="24"/>
                        <w:lang w:val="en-GB"/>
                      </w:rPr>
                    </w:r>
                    <w:r>
                      <w:rPr>
                        <w:sz w:val="22"/>
                        <w:szCs w:val="24"/>
                        <w:lang w:val="en-GB"/>
                      </w:rPr>
                    </w:r>
                  </w:p>
                </w:txbxContent>
              </v:textbox>
            </v:shape>
          </w:pict>
        </mc:Fallback>
      </mc:AlternateContent>
    </w:r>
    <w:r>
      <w:rPr>
        <w:rFonts w:ascii="Arial" w:hAnsi="Arial" w:cs="Arial"/>
        <w:color w:val="000041"/>
        <w:sz w:val="18"/>
        <w:szCs w:val="18"/>
      </w:rPr>
      <w:t xml:space="preserve">Acreditat prin Legea nr. 139 </w:t>
    </w:r>
    <w:r>
      <w:rPr>
        <w:rFonts w:ascii="Arial" w:hAnsi="Arial" w:cs="Arial"/>
        <w:color w:val="000041"/>
        <w:sz w:val="18"/>
        <w:szCs w:val="18"/>
      </w:rPr>
      <w:t xml:space="preserve">şi</w:t>
    </w:r>
    <w:r>
      <w:rPr>
        <w:rFonts w:ascii="Arial" w:hAnsi="Arial" w:cs="Arial"/>
        <w:color w:val="000041"/>
        <w:sz w:val="18"/>
        <w:szCs w:val="18"/>
      </w:rPr>
      <w:t xml:space="preserve"> Decretul 421, publicate în M.O. partea I, nr. 434/23.05.2005        </w:t>
    </w:r>
    <w:r>
      <w:rPr>
        <w:rFonts w:ascii="Arial" w:hAnsi="Arial" w:cs="Arial"/>
        <w:color w:val="000041"/>
        <w:sz w:val="18"/>
        <w:szCs w:val="18"/>
      </w:rPr>
    </w:r>
    <w:r>
      <w:rPr>
        <w:rFonts w:ascii="Arial" w:hAnsi="Arial" w:cs="Arial"/>
        <w:color w:val="000041"/>
        <w:sz w:val="18"/>
        <w:szCs w:val="18"/>
      </w:rPr>
    </w:r>
  </w:p>
  <w:p>
    <w:pPr>
      <w:pStyle w:val="1134"/>
      <w:pBdr/>
      <w:spacing/>
      <w:ind/>
      <w:rPr/>
    </w:pPr>
    <w:r>
      <w:rPr>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column">
                <wp:posOffset>532765</wp:posOffset>
              </wp:positionH>
              <wp:positionV relativeFrom="paragraph">
                <wp:posOffset>55245</wp:posOffset>
              </wp:positionV>
              <wp:extent cx="5760085" cy="0"/>
              <wp:effectExtent l="18415" t="17145" r="12700" b="11430"/>
              <wp:wrapNone/>
              <wp:docPr id="3" name="Conector drept 2"/>
              <wp:cNvGraphicFramePr/>
              <a:graphic xmlns:a="http://schemas.openxmlformats.org/drawingml/2006/main">
                <a:graphicData uri="http://schemas.microsoft.com/office/word/2010/wordprocessingShape">
                  <wps:wsp>
                    <wps:cNvPr id="0" name=""/>
                    <wps:cNvSpPr/>
                    <wps:spPr bwMode="auto">
                      <a:xfrm>
                        <a:off x="0" y="0"/>
                        <a:ext cx="5760085" cy="0"/>
                      </a:xfrm>
                      <a:prstGeom prst="line">
                        <a:avLst/>
                      </a:prstGeom>
                      <a:noFill/>
                      <a:ln w="19050">
                        <a:solidFill>
                          <a:srgbClr val="000041"/>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line id="shape 2" o:spid="_x0000_s2" style="position:absolute;left:0;text-align:left;z-index:251656704;mso-wrap-distance-left:9.00pt;mso-wrap-distance-top:0.00pt;mso-wrap-distance-right:9.00pt;mso-wrap-distance-bottom:0.00pt;visibility:visible;" from="41.9pt,4.3pt" to="495.5pt,4.3pt" filled="f" strokecolor="#000041" strokeweight="1.50pt"/>
          </w:pict>
        </mc:Fallback>
      </mc:AlternateContent>
    </w:r>
    <w:r/>
  </w:p>
  <w:p>
    <w:pPr>
      <w:pStyle w:val="1134"/>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4"/>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4"/>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lvl w:ilvl="0">
      <w:isLgl w:val="false"/>
      <w:lvlJc w:val="left"/>
      <w:lvlText w:val="%1."/>
      <w:numFmt w:val="decimal"/>
      <w:pPr>
        <w:pBdr/>
        <w:tabs>
          <w:tab w:val="left" w:leader="none" w:pos="360"/>
        </w:tabs>
        <w:spacing/>
        <w:ind w:hanging="360" w:left="360"/>
      </w:pPr>
      <w:rPr>
        <w:rFonts w:hint="default"/>
        <w:b/>
      </w:rPr>
      <w:start w:val="1"/>
      <w:suff w:val="tab"/>
    </w:lvl>
    <w:lvl w:ilvl="1">
      <w:isLgl w:val="true"/>
      <w:lvlJc w:val="left"/>
      <w:lvlText w:val="%1.%2."/>
      <w:numFmt w:val="decimal"/>
      <w:pPr>
        <w:pBdr/>
        <w:spacing/>
        <w:ind w:hanging="360" w:left="360"/>
      </w:pPr>
      <w:rPr>
        <w:rFonts w:hint="default"/>
      </w:rPr>
      <w:start w:val="2"/>
      <w:suff w:val="tab"/>
    </w:lvl>
    <w:lvl w:ilvl="2">
      <w:isLgl w:val="true"/>
      <w:lvlJc w:val="left"/>
      <w:lvlText w:val="%1.%2.%3."/>
      <w:numFmt w:val="decimal"/>
      <w:pPr>
        <w:pBdr/>
        <w:spacing/>
        <w:ind w:hanging="720" w:left="720"/>
      </w:pPr>
      <w:rPr>
        <w:rFonts w:hint="default"/>
      </w:rPr>
      <w:start w:val="1"/>
      <w:suff w:val="tab"/>
    </w:lvl>
    <w:lvl w:ilvl="3">
      <w:isLgl w:val="true"/>
      <w:lvlJc w:val="left"/>
      <w:lvlText w:val="%1.%2.%3.%4."/>
      <w:numFmt w:val="decimal"/>
      <w:pPr>
        <w:pBdr/>
        <w:spacing/>
        <w:ind w:hanging="720" w:left="720"/>
      </w:pPr>
      <w:rPr>
        <w:rFonts w:hint="default"/>
      </w:rPr>
      <w:start w:val="1"/>
      <w:suff w:val="tab"/>
    </w:lvl>
    <w:lvl w:ilvl="4">
      <w:isLgl w:val="true"/>
      <w:lvlJc w:val="left"/>
      <w:lvlText w:val="%1.%2.%3.%4.%5."/>
      <w:numFmt w:val="decimal"/>
      <w:pPr>
        <w:pBdr/>
        <w:spacing/>
        <w:ind w:hanging="1080" w:left="1080"/>
      </w:pPr>
      <w:rPr>
        <w:rFonts w:hint="default"/>
      </w:rPr>
      <w:start w:val="1"/>
      <w:suff w:val="tab"/>
    </w:lvl>
    <w:lvl w:ilvl="5">
      <w:isLgl w:val="true"/>
      <w:lvlJc w:val="left"/>
      <w:lvlText w:val="%1.%2.%3.%4.%5.%6."/>
      <w:numFmt w:val="decimal"/>
      <w:pPr>
        <w:pBdr/>
        <w:spacing/>
        <w:ind w:hanging="1080" w:left="1080"/>
      </w:pPr>
      <w:rPr>
        <w:rFonts w:hint="default"/>
      </w:rPr>
      <w:start w:val="1"/>
      <w:suff w:val="tab"/>
    </w:lvl>
    <w:lvl w:ilvl="6">
      <w:isLgl w:val="true"/>
      <w:lvlJc w:val="left"/>
      <w:lvlText w:val="%1.%2.%3.%4.%5.%6.%7."/>
      <w:numFmt w:val="decimal"/>
      <w:pPr>
        <w:pBdr/>
        <w:spacing/>
        <w:ind w:hanging="1440" w:left="1440"/>
      </w:pPr>
      <w:rPr>
        <w:rFonts w:hint="default"/>
      </w:rPr>
      <w:start w:val="1"/>
      <w:suff w:val="tab"/>
    </w:lvl>
    <w:lvl w:ilvl="7">
      <w:isLgl w:val="true"/>
      <w:lvlJc w:val="left"/>
      <w:lvlText w:val="%1.%2.%3.%4.%5.%6.%7.%8."/>
      <w:numFmt w:val="decimal"/>
      <w:pPr>
        <w:pBdr/>
        <w:spacing/>
        <w:ind w:hanging="1440" w:left="1440"/>
      </w:pPr>
      <w:rPr>
        <w:rFonts w:hint="default"/>
      </w:rPr>
      <w:start w:val="1"/>
      <w:suff w:val="tab"/>
    </w:lvl>
    <w:lvl w:ilvl="8">
      <w:isLgl w:val="true"/>
      <w:lvlJc w:val="left"/>
      <w:lvlText w:val="%1.%2.%3.%4.%5.%6.%7.%8.%9."/>
      <w:numFmt w:val="decimal"/>
      <w:pPr>
        <w:pBdr/>
        <w:spacing/>
        <w:ind w:hanging="1800" w:left="1800"/>
      </w:pPr>
      <w:rPr>
        <w:rFonts w:hint="default"/>
      </w:rPr>
      <w:start w:val="1"/>
      <w:suff w:val="tab"/>
    </w:lvl>
  </w:abstractNum>
  <w:abstractNum w:abstractNumId="2">
    <w:lvl w:ilvl="0">
      <w:isLgl w:val="false"/>
      <w:lvlJc w:val="left"/>
      <w:lvlText w:val="%1."/>
      <w:numFmt w:val="decimal"/>
      <w:pPr>
        <w:pBdr/>
        <w:spacing/>
        <w:ind w:hanging="360" w:left="720"/>
      </w:pPr>
      <w:rPr>
        <w:rFonts w:hint="default"/>
        <w:b/>
        <w:i w:val="0"/>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
    <w:lvl w:ilvl="0">
      <w:isLgl w:val="false"/>
      <w:lvlJc w:val="left"/>
      <w:lvlText w:val=""/>
      <w:numFmt w:val="bullet"/>
      <w:pPr>
        <w:pBdr/>
        <w:tabs>
          <w:tab w:val="left" w:leader="none" w:pos="641"/>
        </w:tabs>
        <w:spacing/>
        <w:ind w:hanging="357" w:left="641"/>
      </w:pPr>
      <w:rPr>
        <w:rFonts w:hint="default" w:ascii="Symbol" w:hAnsi="Symbol"/>
      </w:rPr>
      <w:start w:val="1"/>
      <w:suff w:val="tab"/>
    </w:lvl>
    <w:lvl w:ilvl="1">
      <w:isLgl w:val="false"/>
      <w:lvlJc w:val="left"/>
      <w:lvlText w:val="o"/>
      <w:numFmt w:val="bullet"/>
      <w:pPr>
        <w:pBdr/>
        <w:tabs>
          <w:tab w:val="left" w:leader="none" w:pos="1440"/>
        </w:tabs>
        <w:spacing/>
        <w:ind w:hanging="360" w:left="1440"/>
      </w:pPr>
      <w:rPr>
        <w:rFonts w:hint="default" w:ascii="Courier New" w:hAnsi="Courier New"/>
      </w:rPr>
      <w:start w:val="1"/>
      <w:suff w:val="tab"/>
    </w:lvl>
    <w:lvl w:ilvl="2">
      <w:isLgl w:val="false"/>
      <w:lvlJc w:val="left"/>
      <w:lvlText w:val=""/>
      <w:numFmt w:val="bullet"/>
      <w:pPr>
        <w:pBdr/>
        <w:tabs>
          <w:tab w:val="left" w:leader="none" w:pos="2160"/>
        </w:tabs>
        <w:spacing/>
        <w:ind w:hanging="360" w:left="2160"/>
      </w:pPr>
      <w:rPr>
        <w:rFonts w:hint="default" w:ascii="Wingdings" w:hAnsi="Wingdings"/>
      </w:rPr>
      <w:start w:val="1"/>
      <w:suff w:val="tab"/>
    </w:lvl>
    <w:lvl w:ilvl="3">
      <w:isLgl w:val="false"/>
      <w:lvlJc w:val="left"/>
      <w:lvlText w:val=""/>
      <w:numFmt w:val="bullet"/>
      <w:pPr>
        <w:pBdr/>
        <w:tabs>
          <w:tab w:val="left" w:leader="none" w:pos="2880"/>
        </w:tabs>
        <w:spacing/>
        <w:ind w:hanging="360" w:left="2880"/>
      </w:pPr>
      <w:rPr>
        <w:rFonts w:hint="default" w:ascii="Symbol" w:hAnsi="Symbol"/>
      </w:rPr>
      <w:start w:val="1"/>
      <w:suff w:val="tab"/>
    </w:lvl>
    <w:lvl w:ilvl="4">
      <w:isLgl w:val="false"/>
      <w:lvlJc w:val="left"/>
      <w:lvlText w:val="o"/>
      <w:numFmt w:val="bullet"/>
      <w:pPr>
        <w:pBdr/>
        <w:tabs>
          <w:tab w:val="left" w:leader="none" w:pos="3600"/>
        </w:tabs>
        <w:spacing/>
        <w:ind w:hanging="360" w:left="3600"/>
      </w:pPr>
      <w:rPr>
        <w:rFonts w:hint="default" w:ascii="Courier New" w:hAnsi="Courier New"/>
      </w:rPr>
      <w:start w:val="1"/>
      <w:suff w:val="tab"/>
    </w:lvl>
    <w:lvl w:ilvl="5">
      <w:isLgl w:val="false"/>
      <w:lvlJc w:val="left"/>
      <w:lvlText w:val=""/>
      <w:numFmt w:val="bullet"/>
      <w:pPr>
        <w:pBdr/>
        <w:tabs>
          <w:tab w:val="left" w:leader="none" w:pos="4320"/>
        </w:tabs>
        <w:spacing/>
        <w:ind w:hanging="360" w:left="4320"/>
      </w:pPr>
      <w:rPr>
        <w:rFonts w:hint="default" w:ascii="Wingdings" w:hAnsi="Wingdings"/>
      </w:rPr>
      <w:start w:val="1"/>
      <w:suff w:val="tab"/>
    </w:lvl>
    <w:lvl w:ilvl="6">
      <w:isLgl w:val="false"/>
      <w:lvlJc w:val="left"/>
      <w:lvlText w:val=""/>
      <w:numFmt w:val="bullet"/>
      <w:pPr>
        <w:pBdr/>
        <w:tabs>
          <w:tab w:val="left" w:leader="none" w:pos="5040"/>
        </w:tabs>
        <w:spacing/>
        <w:ind w:hanging="360" w:left="5040"/>
      </w:pPr>
      <w:rPr>
        <w:rFonts w:hint="default" w:ascii="Symbol" w:hAnsi="Symbol"/>
      </w:rPr>
      <w:start w:val="1"/>
      <w:suff w:val="tab"/>
    </w:lvl>
    <w:lvl w:ilvl="7">
      <w:isLgl w:val="false"/>
      <w:lvlJc w:val="left"/>
      <w:lvlText w:val="o"/>
      <w:numFmt w:val="bullet"/>
      <w:pPr>
        <w:pBdr/>
        <w:tabs>
          <w:tab w:val="left" w:leader="none" w:pos="5760"/>
        </w:tabs>
        <w:spacing/>
        <w:ind w:hanging="360" w:left="5760"/>
      </w:pPr>
      <w:rPr>
        <w:rFonts w:hint="default" w:ascii="Courier New" w:hAnsi="Courier New"/>
      </w:rPr>
      <w:start w:val="1"/>
      <w:suff w:val="tab"/>
    </w:lvl>
    <w:lvl w:ilvl="8">
      <w:isLgl w:val="false"/>
      <w:lvlJc w:val="left"/>
      <w:lvlText w:val=""/>
      <w:numFmt w:val="bullet"/>
      <w:pPr>
        <w:pBdr/>
        <w:tabs>
          <w:tab w:val="left" w:leader="none" w:pos="6480"/>
        </w:tabs>
        <w:spacing/>
        <w:ind w:hanging="360" w:left="6480"/>
      </w:pPr>
      <w:rPr>
        <w:rFonts w:hint="default" w:ascii="Wingdings" w:hAnsi="Wingdings"/>
      </w:rPr>
      <w:start w:val="1"/>
      <w:suff w:val="tab"/>
    </w:lvl>
  </w:abstractNum>
  <w:abstractNum w:abstractNumId="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5">
    <w:lvl w:ilvl="0">
      <w:isLgl w:val="false"/>
      <w:lvlJc w:val="left"/>
      <w:lvlText w:val="%1."/>
      <w:numFmt w:val="decimal"/>
      <w:pPr>
        <w:pBdr/>
        <w:spacing/>
        <w:ind w:hanging="360" w:left="1440"/>
      </w:pPr>
      <w:rPr>
        <w:rFonts w:hint="default"/>
      </w:rPr>
      <w:start w:val="1"/>
      <w:suff w:val="tab"/>
    </w:lvl>
    <w:lvl w:ilvl="1">
      <w:isLgl w:val="false"/>
      <w:lvlJc w:val="left"/>
      <w:lvlText w:val="%2."/>
      <w:numFmt w:val="lowerLetter"/>
      <w:pPr>
        <w:pBdr/>
        <w:spacing/>
        <w:ind w:hanging="360" w:left="2160"/>
      </w:pPr>
      <w:rPr/>
      <w:start w:val="1"/>
      <w:suff w:val="tab"/>
    </w:lvl>
    <w:lvl w:ilvl="2">
      <w:isLgl w:val="false"/>
      <w:lvlJc w:val="right"/>
      <w:lvlText w:val="%3."/>
      <w:numFmt w:val="lowerRoman"/>
      <w:pPr>
        <w:pBdr/>
        <w:spacing/>
        <w:ind w:hanging="180" w:left="2880"/>
      </w:pPr>
      <w:rPr/>
      <w:start w:val="1"/>
      <w:suff w:val="tab"/>
    </w:lvl>
    <w:lvl w:ilvl="3">
      <w:isLgl w:val="false"/>
      <w:lvlJc w:val="left"/>
      <w:lvlText w:val="%4."/>
      <w:numFmt w:val="decimal"/>
      <w:pPr>
        <w:pBdr/>
        <w:spacing/>
        <w:ind w:hanging="360" w:left="3600"/>
      </w:pPr>
      <w:rPr/>
      <w:start w:val="1"/>
      <w:suff w:val="tab"/>
    </w:lvl>
    <w:lvl w:ilvl="4">
      <w:isLgl w:val="false"/>
      <w:lvlJc w:val="left"/>
      <w:lvlText w:val="%5."/>
      <w:numFmt w:val="lowerLetter"/>
      <w:pPr>
        <w:pBdr/>
        <w:spacing/>
        <w:ind w:hanging="360" w:left="4320"/>
      </w:pPr>
      <w:rPr/>
      <w:start w:val="1"/>
      <w:suff w:val="tab"/>
    </w:lvl>
    <w:lvl w:ilvl="5">
      <w:isLgl w:val="false"/>
      <w:lvlJc w:val="right"/>
      <w:lvlText w:val="%6."/>
      <w:numFmt w:val="lowerRoman"/>
      <w:pPr>
        <w:pBdr/>
        <w:spacing/>
        <w:ind w:hanging="180" w:left="5040"/>
      </w:pPr>
      <w:rPr/>
      <w:start w:val="1"/>
      <w:suff w:val="tab"/>
    </w:lvl>
    <w:lvl w:ilvl="6">
      <w:isLgl w:val="false"/>
      <w:lvlJc w:val="left"/>
      <w:lvlText w:val="%7."/>
      <w:numFmt w:val="decimal"/>
      <w:pPr>
        <w:pBdr/>
        <w:spacing/>
        <w:ind w:hanging="360" w:left="5760"/>
      </w:pPr>
      <w:rPr/>
      <w:start w:val="1"/>
      <w:suff w:val="tab"/>
    </w:lvl>
    <w:lvl w:ilvl="7">
      <w:isLgl w:val="false"/>
      <w:lvlJc w:val="left"/>
      <w:lvlText w:val="%8."/>
      <w:numFmt w:val="lowerLetter"/>
      <w:pPr>
        <w:pBdr/>
        <w:spacing/>
        <w:ind w:hanging="360" w:left="6480"/>
      </w:pPr>
      <w:rPr/>
      <w:start w:val="1"/>
      <w:suff w:val="tab"/>
    </w:lvl>
    <w:lvl w:ilvl="8">
      <w:isLgl w:val="false"/>
      <w:lvlJc w:val="right"/>
      <w:lvlText w:val="%9."/>
      <w:numFmt w:val="lowerRoman"/>
      <w:pPr>
        <w:pBdr/>
        <w:spacing/>
        <w:ind w:hanging="180" w:left="7200"/>
      </w:pPr>
      <w:rPr/>
      <w:start w:val="1"/>
      <w:suff w:val="tab"/>
    </w:lvl>
  </w:abstractNum>
  <w:abstractNum w:abstractNumId="6">
    <w:lvl w:ilvl="0">
      <w:isLgl w:val="false"/>
      <w:lvlJc w:val="left"/>
      <w:lvlText w:val="%1."/>
      <w:numFmt w:val="decimal"/>
      <w:pPr>
        <w:pBdr/>
        <w:spacing/>
        <w:ind w:hanging="360" w:left="750"/>
      </w:pPr>
      <w:rPr/>
      <w:start w:val="1"/>
      <w:suff w:val="tab"/>
    </w:lvl>
    <w:lvl w:ilvl="1">
      <w:isLgl w:val="false"/>
      <w:lvlJc w:val="left"/>
      <w:lvlText w:val="%2."/>
      <w:numFmt w:val="lowerLetter"/>
      <w:pPr>
        <w:pBdr/>
        <w:spacing/>
        <w:ind w:hanging="360" w:left="1470"/>
      </w:pPr>
      <w:rPr/>
      <w:start w:val="1"/>
      <w:suff w:val="tab"/>
    </w:lvl>
    <w:lvl w:ilvl="2">
      <w:isLgl w:val="false"/>
      <w:lvlJc w:val="right"/>
      <w:lvlText w:val="%3."/>
      <w:numFmt w:val="lowerRoman"/>
      <w:pPr>
        <w:pBdr/>
        <w:spacing/>
        <w:ind w:hanging="180" w:left="2190"/>
      </w:pPr>
      <w:rPr/>
      <w:start w:val="1"/>
      <w:suff w:val="tab"/>
    </w:lvl>
    <w:lvl w:ilvl="3">
      <w:isLgl w:val="false"/>
      <w:lvlJc w:val="left"/>
      <w:lvlText w:val="%4."/>
      <w:numFmt w:val="decimal"/>
      <w:pPr>
        <w:pBdr/>
        <w:spacing/>
        <w:ind w:hanging="360" w:left="2910"/>
      </w:pPr>
      <w:rPr/>
      <w:start w:val="1"/>
      <w:suff w:val="tab"/>
    </w:lvl>
    <w:lvl w:ilvl="4">
      <w:isLgl w:val="false"/>
      <w:lvlJc w:val="left"/>
      <w:lvlText w:val="%5."/>
      <w:numFmt w:val="lowerLetter"/>
      <w:pPr>
        <w:pBdr/>
        <w:spacing/>
        <w:ind w:hanging="360" w:left="3630"/>
      </w:pPr>
      <w:rPr/>
      <w:start w:val="1"/>
      <w:suff w:val="tab"/>
    </w:lvl>
    <w:lvl w:ilvl="5">
      <w:isLgl w:val="false"/>
      <w:lvlJc w:val="right"/>
      <w:lvlText w:val="%6."/>
      <w:numFmt w:val="lowerRoman"/>
      <w:pPr>
        <w:pBdr/>
        <w:spacing/>
        <w:ind w:hanging="180" w:left="4350"/>
      </w:pPr>
      <w:rPr/>
      <w:start w:val="1"/>
      <w:suff w:val="tab"/>
    </w:lvl>
    <w:lvl w:ilvl="6">
      <w:isLgl w:val="false"/>
      <w:lvlJc w:val="left"/>
      <w:lvlText w:val="%7."/>
      <w:numFmt w:val="decimal"/>
      <w:pPr>
        <w:pBdr/>
        <w:spacing/>
        <w:ind w:hanging="360" w:left="5070"/>
      </w:pPr>
      <w:rPr/>
      <w:start w:val="1"/>
      <w:suff w:val="tab"/>
    </w:lvl>
    <w:lvl w:ilvl="7">
      <w:isLgl w:val="false"/>
      <w:lvlJc w:val="left"/>
      <w:lvlText w:val="%8."/>
      <w:numFmt w:val="lowerLetter"/>
      <w:pPr>
        <w:pBdr/>
        <w:spacing/>
        <w:ind w:hanging="360" w:left="5790"/>
      </w:pPr>
      <w:rPr/>
      <w:start w:val="1"/>
      <w:suff w:val="tab"/>
    </w:lvl>
    <w:lvl w:ilvl="8">
      <w:isLgl w:val="false"/>
      <w:lvlJc w:val="right"/>
      <w:lvlText w:val="%9."/>
      <w:numFmt w:val="lowerRoman"/>
      <w:pPr>
        <w:pBdr/>
        <w:spacing/>
        <w:ind w:hanging="180" w:left="6510"/>
      </w:pPr>
      <w:rPr/>
      <w:start w:val="1"/>
      <w:suff w:val="tab"/>
    </w:lvl>
  </w:abstractNum>
  <w:abstractNum w:abstractNumId="7">
    <w:lvl w:ilvl="0">
      <w:isLgl w:val="false"/>
      <w:lvlJc w:val="left"/>
      <w:lvlText w:val="-"/>
      <w:numFmt w:val="bullet"/>
      <w:pPr>
        <w:pBdr/>
        <w:spacing/>
        <w:ind w:hanging="360" w:left="1110"/>
      </w:pPr>
      <w:rPr>
        <w:rFonts w:hint="default" w:ascii="Times New Roman" w:hAnsi="Times New Roman" w:eastAsia="Times New Roman" w:cs="Times New Roman"/>
      </w:rPr>
      <w:start w:val="0"/>
      <w:suff w:val="tab"/>
    </w:lvl>
    <w:lvl w:ilvl="1">
      <w:isLgl w:val="false"/>
      <w:lvlJc w:val="left"/>
      <w:lvlText w:val="o"/>
      <w:numFmt w:val="bullet"/>
      <w:pPr>
        <w:pBdr/>
        <w:spacing/>
        <w:ind w:hanging="360" w:left="1830"/>
      </w:pPr>
      <w:rPr>
        <w:rFonts w:hint="default" w:ascii="Courier New" w:hAnsi="Courier New" w:cs="Courier New"/>
      </w:rPr>
      <w:start w:val="1"/>
      <w:suff w:val="tab"/>
    </w:lvl>
    <w:lvl w:ilvl="2">
      <w:isLgl w:val="false"/>
      <w:lvlJc w:val="left"/>
      <w:lvlText w:val=""/>
      <w:numFmt w:val="bullet"/>
      <w:pPr>
        <w:pBdr/>
        <w:spacing/>
        <w:ind w:hanging="360" w:left="2550"/>
      </w:pPr>
      <w:rPr>
        <w:rFonts w:hint="default" w:ascii="Wingdings" w:hAnsi="Wingdings"/>
      </w:rPr>
      <w:start w:val="1"/>
      <w:suff w:val="tab"/>
    </w:lvl>
    <w:lvl w:ilvl="3">
      <w:isLgl w:val="false"/>
      <w:lvlJc w:val="left"/>
      <w:lvlText w:val=""/>
      <w:numFmt w:val="bullet"/>
      <w:pPr>
        <w:pBdr/>
        <w:spacing/>
        <w:ind w:hanging="360" w:left="3270"/>
      </w:pPr>
      <w:rPr>
        <w:rFonts w:hint="default" w:ascii="Symbol" w:hAnsi="Symbol"/>
      </w:rPr>
      <w:start w:val="1"/>
      <w:suff w:val="tab"/>
    </w:lvl>
    <w:lvl w:ilvl="4">
      <w:isLgl w:val="false"/>
      <w:lvlJc w:val="left"/>
      <w:lvlText w:val="o"/>
      <w:numFmt w:val="bullet"/>
      <w:pPr>
        <w:pBdr/>
        <w:spacing/>
        <w:ind w:hanging="360" w:left="3990"/>
      </w:pPr>
      <w:rPr>
        <w:rFonts w:hint="default" w:ascii="Courier New" w:hAnsi="Courier New" w:cs="Courier New"/>
      </w:rPr>
      <w:start w:val="1"/>
      <w:suff w:val="tab"/>
    </w:lvl>
    <w:lvl w:ilvl="5">
      <w:isLgl w:val="false"/>
      <w:lvlJc w:val="left"/>
      <w:lvlText w:val=""/>
      <w:numFmt w:val="bullet"/>
      <w:pPr>
        <w:pBdr/>
        <w:spacing/>
        <w:ind w:hanging="360" w:left="4710"/>
      </w:pPr>
      <w:rPr>
        <w:rFonts w:hint="default" w:ascii="Wingdings" w:hAnsi="Wingdings"/>
      </w:rPr>
      <w:start w:val="1"/>
      <w:suff w:val="tab"/>
    </w:lvl>
    <w:lvl w:ilvl="6">
      <w:isLgl w:val="false"/>
      <w:lvlJc w:val="left"/>
      <w:lvlText w:val=""/>
      <w:numFmt w:val="bullet"/>
      <w:pPr>
        <w:pBdr/>
        <w:spacing/>
        <w:ind w:hanging="360" w:left="5430"/>
      </w:pPr>
      <w:rPr>
        <w:rFonts w:hint="default" w:ascii="Symbol" w:hAnsi="Symbol"/>
      </w:rPr>
      <w:start w:val="1"/>
      <w:suff w:val="tab"/>
    </w:lvl>
    <w:lvl w:ilvl="7">
      <w:isLgl w:val="false"/>
      <w:lvlJc w:val="left"/>
      <w:lvlText w:val="o"/>
      <w:numFmt w:val="bullet"/>
      <w:pPr>
        <w:pBdr/>
        <w:spacing/>
        <w:ind w:hanging="360" w:left="6150"/>
      </w:pPr>
      <w:rPr>
        <w:rFonts w:hint="default" w:ascii="Courier New" w:hAnsi="Courier New" w:cs="Courier New"/>
      </w:rPr>
      <w:start w:val="1"/>
      <w:suff w:val="tab"/>
    </w:lvl>
    <w:lvl w:ilvl="8">
      <w:isLgl w:val="false"/>
      <w:lvlJc w:val="left"/>
      <w:lvlText w:val=""/>
      <w:numFmt w:val="bullet"/>
      <w:pPr>
        <w:pBdr/>
        <w:spacing/>
        <w:ind w:hanging="360" w:left="6870"/>
      </w:pPr>
      <w:rPr>
        <w:rFonts w:hint="default" w:ascii="Wingdings" w:hAnsi="Wingdings"/>
      </w:rPr>
      <w:start w:val="1"/>
      <w:suff w:val="tab"/>
    </w:lvl>
  </w:abstractNum>
  <w:abstractNum w:abstractNumId="8">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9">
    <w:lvl w:ilvl="0">
      <w:isLgl w:val="false"/>
      <w:lvlJc w:val="left"/>
      <w:lvlText w:val="-"/>
      <w:numFmt w:val="bullet"/>
      <w:pPr>
        <w:pBdr/>
        <w:spacing/>
        <w:ind w:hanging="360" w:left="720"/>
      </w:pPr>
      <w:rPr>
        <w:rFonts w:hint="default" w:ascii="Calibri" w:hAnsi="Calibri" w:eastAsia="Calibri" w:cs="Times New Roman"/>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0">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lvl w:ilvl="0">
      <w:isLgl w:val="false"/>
      <w:lvlJc w:val="left"/>
      <w:lvlText w:val="-"/>
      <w:numFmt w:val="bullet"/>
      <w:pPr>
        <w:pBdr/>
        <w:spacing/>
        <w:ind w:hanging="360" w:left="1110"/>
      </w:pPr>
      <w:rPr>
        <w:rFonts w:hint="default" w:ascii="Times New Roman" w:hAnsi="Times New Roman" w:eastAsia="Times New Roman" w:cs="Times New Roman"/>
      </w:rPr>
      <w:start w:val="0"/>
      <w:suff w:val="tab"/>
    </w:lvl>
    <w:lvl w:ilvl="1">
      <w:isLgl w:val="false"/>
      <w:lvlJc w:val="left"/>
      <w:lvlText w:val="o"/>
      <w:numFmt w:val="bullet"/>
      <w:pPr>
        <w:pBdr/>
        <w:spacing/>
        <w:ind w:hanging="360" w:left="1830"/>
      </w:pPr>
      <w:rPr>
        <w:rFonts w:hint="default" w:ascii="Courier New" w:hAnsi="Courier New" w:cs="Courier New"/>
      </w:rPr>
      <w:start w:val="1"/>
      <w:suff w:val="tab"/>
    </w:lvl>
    <w:lvl w:ilvl="2">
      <w:isLgl w:val="false"/>
      <w:lvlJc w:val="left"/>
      <w:lvlText w:val=""/>
      <w:numFmt w:val="bullet"/>
      <w:pPr>
        <w:pBdr/>
        <w:spacing/>
        <w:ind w:hanging="360" w:left="2550"/>
      </w:pPr>
      <w:rPr>
        <w:rFonts w:hint="default" w:ascii="Wingdings" w:hAnsi="Wingdings"/>
      </w:rPr>
      <w:start w:val="1"/>
      <w:suff w:val="tab"/>
    </w:lvl>
    <w:lvl w:ilvl="3">
      <w:isLgl w:val="false"/>
      <w:lvlJc w:val="left"/>
      <w:lvlText w:val=""/>
      <w:numFmt w:val="bullet"/>
      <w:pPr>
        <w:pBdr/>
        <w:spacing/>
        <w:ind w:hanging="360" w:left="3270"/>
      </w:pPr>
      <w:rPr>
        <w:rFonts w:hint="default" w:ascii="Symbol" w:hAnsi="Symbol"/>
      </w:rPr>
      <w:start w:val="1"/>
      <w:suff w:val="tab"/>
    </w:lvl>
    <w:lvl w:ilvl="4">
      <w:isLgl w:val="false"/>
      <w:lvlJc w:val="left"/>
      <w:lvlText w:val="o"/>
      <w:numFmt w:val="bullet"/>
      <w:pPr>
        <w:pBdr/>
        <w:spacing/>
        <w:ind w:hanging="360" w:left="3990"/>
      </w:pPr>
      <w:rPr>
        <w:rFonts w:hint="default" w:ascii="Courier New" w:hAnsi="Courier New" w:cs="Courier New"/>
      </w:rPr>
      <w:start w:val="1"/>
      <w:suff w:val="tab"/>
    </w:lvl>
    <w:lvl w:ilvl="5">
      <w:isLgl w:val="false"/>
      <w:lvlJc w:val="left"/>
      <w:lvlText w:val=""/>
      <w:numFmt w:val="bullet"/>
      <w:pPr>
        <w:pBdr/>
        <w:spacing/>
        <w:ind w:hanging="360" w:left="4710"/>
      </w:pPr>
      <w:rPr>
        <w:rFonts w:hint="default" w:ascii="Wingdings" w:hAnsi="Wingdings"/>
      </w:rPr>
      <w:start w:val="1"/>
      <w:suff w:val="tab"/>
    </w:lvl>
    <w:lvl w:ilvl="6">
      <w:isLgl w:val="false"/>
      <w:lvlJc w:val="left"/>
      <w:lvlText w:val=""/>
      <w:numFmt w:val="bullet"/>
      <w:pPr>
        <w:pBdr/>
        <w:spacing/>
        <w:ind w:hanging="360" w:left="5430"/>
      </w:pPr>
      <w:rPr>
        <w:rFonts w:hint="default" w:ascii="Symbol" w:hAnsi="Symbol"/>
      </w:rPr>
      <w:start w:val="1"/>
      <w:suff w:val="tab"/>
    </w:lvl>
    <w:lvl w:ilvl="7">
      <w:isLgl w:val="false"/>
      <w:lvlJc w:val="left"/>
      <w:lvlText w:val="o"/>
      <w:numFmt w:val="bullet"/>
      <w:pPr>
        <w:pBdr/>
        <w:spacing/>
        <w:ind w:hanging="360" w:left="6150"/>
      </w:pPr>
      <w:rPr>
        <w:rFonts w:hint="default" w:ascii="Courier New" w:hAnsi="Courier New" w:cs="Courier New"/>
      </w:rPr>
      <w:start w:val="1"/>
      <w:suff w:val="tab"/>
    </w:lvl>
    <w:lvl w:ilvl="8">
      <w:isLgl w:val="false"/>
      <w:lvlJc w:val="left"/>
      <w:lvlText w:val=""/>
      <w:numFmt w:val="bullet"/>
      <w:pPr>
        <w:pBdr/>
        <w:spacing/>
        <w:ind w:hanging="360" w:left="6870"/>
      </w:pPr>
      <w:rPr>
        <w:rFonts w:hint="default" w:ascii="Wingdings" w:hAnsi="Wingdings"/>
      </w:rPr>
      <w:start w:val="1"/>
      <w:suff w:val="tab"/>
    </w:lvl>
  </w:abstractNum>
  <w:num w:numId="1">
    <w:abstractNumId w:val="2"/>
  </w:num>
  <w:num w:numId="2">
    <w:abstractNumId w:val="10"/>
  </w:num>
  <w:num w:numId="3">
    <w:abstractNumId w:val="4"/>
  </w:num>
  <w:num w:numId="4">
    <w:abstractNumId w:val="5"/>
  </w:num>
  <w:num w:numId="5">
    <w:abstractNumId w:val="9"/>
  </w:num>
  <w:num w:numId="6">
    <w:abstractNumId w:val="6"/>
  </w:num>
  <w:num w:numId="7">
    <w:abstractNumId w:val="6"/>
  </w:num>
  <w:num w:numId="8">
    <w:abstractNumId w:val="7"/>
  </w:num>
  <w:num w:numId="9">
    <w:abstractNumId w:val="11"/>
  </w:num>
  <w:num w:numId="10">
    <w:abstractNumId w:val="1"/>
  </w:num>
  <w:num w:numId="11">
    <w:abstractNumId w:val="0"/>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432"/>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88">
    <w:name w:val="Placeholder Text"/>
    <w:basedOn w:val="965"/>
    <w:uiPriority w:val="99"/>
    <w:semiHidden/>
    <w:pPr>
      <w:pBdr/>
      <w:spacing/>
      <w:ind/>
    </w:pPr>
    <w:rPr>
      <w:color w:val="666666"/>
    </w:rPr>
  </w:style>
  <w:style w:type="table" w:styleId="889">
    <w:name w:val="Table Grid Light"/>
    <w:basedOn w:val="96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1 Light - Accent 1"/>
    <w:basedOn w:val="96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1 Light - Accent 3"/>
    <w:basedOn w:val="96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1 Light - Accent 4"/>
    <w:basedOn w:val="96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1 Light - Accent 5"/>
    <w:basedOn w:val="96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1 Light - Accent 6"/>
    <w:basedOn w:val="96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2 - Accent 1"/>
    <w:basedOn w:val="96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2 - Accent 2"/>
    <w:basedOn w:val="96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2 - Accent 3"/>
    <w:basedOn w:val="96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2 - Accent 4"/>
    <w:basedOn w:val="96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2 - Accent 5"/>
    <w:basedOn w:val="96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2 - Accent 6"/>
    <w:basedOn w:val="96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3 - Accent 1"/>
    <w:basedOn w:val="96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3 - Accent 2"/>
    <w:basedOn w:val="96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3 - Accent 3"/>
    <w:basedOn w:val="96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3 - Accent 4"/>
    <w:basedOn w:val="96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3 - Accent 5"/>
    <w:basedOn w:val="96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3 - Accent 6"/>
    <w:basedOn w:val="96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4 - Accent 1"/>
    <w:basedOn w:val="96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4 - Accent 2"/>
    <w:basedOn w:val="96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4 - Accent 3"/>
    <w:basedOn w:val="96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4 - Accent 4"/>
    <w:basedOn w:val="96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4 - Accent 5"/>
    <w:basedOn w:val="96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4 - Accent 6"/>
    <w:basedOn w:val="96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5 Dark - Accent 2"/>
    <w:basedOn w:val="9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5 Dark - Accent 3"/>
    <w:basedOn w:val="9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5 Dark - Accent 5"/>
    <w:basedOn w:val="9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5 Dark - Accent 6"/>
    <w:basedOn w:val="96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1 Light - Accent 1"/>
    <w:basedOn w:val="9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1 Light - Accent 2"/>
    <w:basedOn w:val="9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1 Light - Accent 3"/>
    <w:basedOn w:val="9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1 Light - Accent 4"/>
    <w:basedOn w:val="9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1 Light - Accent 5"/>
    <w:basedOn w:val="9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1 Light - Accent 6"/>
    <w:basedOn w:val="96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2 - Accent 1"/>
    <w:basedOn w:val="96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2 - Accent 2"/>
    <w:basedOn w:val="96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2 - Accent 3"/>
    <w:basedOn w:val="96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2 - Accent 4"/>
    <w:basedOn w:val="96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2 - Accent 5"/>
    <w:basedOn w:val="96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2 - Accent 6"/>
    <w:basedOn w:val="96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3 - Accent 1"/>
    <w:basedOn w:val="96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3 - Accent 2"/>
    <w:basedOn w:val="96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3 - Accent 3"/>
    <w:basedOn w:val="96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3 - Accent 4"/>
    <w:basedOn w:val="96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3 - Accent 5"/>
    <w:basedOn w:val="96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3 - Accent 6"/>
    <w:basedOn w:val="96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1"/>
    <w:basedOn w:val="96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4 - Accent 2"/>
    <w:basedOn w:val="96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4 - Accent 3"/>
    <w:basedOn w:val="96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4 - Accent 4"/>
    <w:basedOn w:val="96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4 - Accent 5"/>
    <w:basedOn w:val="96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4 - Accent 6"/>
    <w:basedOn w:val="96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5 Dark - Accent 1"/>
    <w:basedOn w:val="96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2"/>
    <w:basedOn w:val="96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5 Dark - Accent 3"/>
    <w:basedOn w:val="96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4">
    <w:name w:val="List Table 5 Dark - Accent 4"/>
    <w:basedOn w:val="96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5">
    <w:name w:val="List Table 5 Dark - Accent 5"/>
    <w:basedOn w:val="96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6">
    <w:name w:val="List Table 5 Dark - Accent 6"/>
    <w:basedOn w:val="96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character" w:styleId="947">
    <w:name w:val="Intense Emphasis"/>
    <w:basedOn w:val="965"/>
    <w:uiPriority w:val="21"/>
    <w:qFormat/>
    <w:pPr>
      <w:pBdr/>
      <w:spacing/>
      <w:ind/>
    </w:pPr>
    <w:rPr>
      <w:i/>
      <w:iCs/>
      <w:color w:val="0f4761" w:themeColor="accent1" w:themeShade="BF"/>
    </w:rPr>
  </w:style>
  <w:style w:type="character" w:styleId="948">
    <w:name w:val="Intense Reference"/>
    <w:basedOn w:val="965"/>
    <w:uiPriority w:val="32"/>
    <w:qFormat/>
    <w:pPr>
      <w:pBdr/>
      <w:spacing/>
      <w:ind/>
    </w:pPr>
    <w:rPr>
      <w:b/>
      <w:bCs/>
      <w:smallCaps/>
      <w:color w:val="0f4761" w:themeColor="accent1" w:themeShade="BF"/>
      <w:spacing w:val="5"/>
    </w:rPr>
  </w:style>
  <w:style w:type="character" w:styleId="949">
    <w:name w:val="Subtle Emphasis"/>
    <w:basedOn w:val="965"/>
    <w:uiPriority w:val="19"/>
    <w:qFormat/>
    <w:pPr>
      <w:pBdr/>
      <w:spacing/>
      <w:ind/>
    </w:pPr>
    <w:rPr>
      <w:i/>
      <w:iCs/>
      <w:color w:val="404040" w:themeColor="text1" w:themeTint="BF"/>
    </w:rPr>
  </w:style>
  <w:style w:type="character" w:styleId="950">
    <w:name w:val="Emphasis"/>
    <w:basedOn w:val="965"/>
    <w:uiPriority w:val="20"/>
    <w:qFormat/>
    <w:pPr>
      <w:pBdr/>
      <w:spacing/>
      <w:ind/>
    </w:pPr>
    <w:rPr>
      <w:i/>
      <w:iCs/>
    </w:rPr>
  </w:style>
  <w:style w:type="character" w:styleId="951">
    <w:name w:val="Strong"/>
    <w:basedOn w:val="965"/>
    <w:uiPriority w:val="22"/>
    <w:qFormat/>
    <w:pPr>
      <w:pBdr/>
      <w:spacing/>
      <w:ind/>
    </w:pPr>
    <w:rPr>
      <w:b/>
      <w:bCs/>
    </w:rPr>
  </w:style>
  <w:style w:type="character" w:styleId="952">
    <w:name w:val="Subtle Reference"/>
    <w:basedOn w:val="965"/>
    <w:uiPriority w:val="31"/>
    <w:qFormat/>
    <w:pPr>
      <w:pBdr/>
      <w:spacing/>
      <w:ind/>
    </w:pPr>
    <w:rPr>
      <w:smallCaps/>
      <w:color w:val="5a5a5a" w:themeColor="text1" w:themeTint="A5"/>
    </w:rPr>
  </w:style>
  <w:style w:type="character" w:styleId="953">
    <w:name w:val="Book Title"/>
    <w:basedOn w:val="965"/>
    <w:uiPriority w:val="33"/>
    <w:qFormat/>
    <w:pPr>
      <w:pBdr/>
      <w:spacing/>
      <w:ind/>
    </w:pPr>
    <w:rPr>
      <w:b/>
      <w:bCs/>
      <w:i/>
      <w:iCs/>
      <w:spacing w:val="5"/>
    </w:rPr>
  </w:style>
  <w:style w:type="character" w:styleId="954">
    <w:name w:val="FollowedHyperlink"/>
    <w:basedOn w:val="965"/>
    <w:uiPriority w:val="99"/>
    <w:semiHidden/>
    <w:unhideWhenUsed/>
    <w:pPr>
      <w:pBdr/>
      <w:spacing/>
      <w:ind/>
    </w:pPr>
    <w:rPr>
      <w:color w:val="954f72" w:themeColor="followedHyperlink"/>
      <w:u w:val="single"/>
    </w:rPr>
  </w:style>
  <w:style w:type="paragraph" w:styleId="955" w:default="1">
    <w:name w:val="Normal"/>
    <w:qFormat/>
    <w:pPr>
      <w:pBdr/>
      <w:spacing/>
      <w:ind/>
    </w:pPr>
    <w:rPr>
      <w:rFonts w:ascii="Times New Roman" w:hAnsi="Times New Roman" w:eastAsia="Times New Roman"/>
      <w:lang w:val="ro-RO"/>
    </w:rPr>
  </w:style>
  <w:style w:type="paragraph" w:styleId="956">
    <w:name w:val="Heading 1"/>
    <w:basedOn w:val="955"/>
    <w:next w:val="955"/>
    <w:link w:val="1133"/>
    <w:uiPriority w:val="9"/>
    <w:qFormat/>
    <w:pPr>
      <w:keepNext w:val="true"/>
      <w:keepLines w:val="true"/>
      <w:pBdr/>
      <w:spacing w:before="480"/>
      <w:ind/>
      <w:jc w:val="both"/>
      <w:outlineLvl w:val="0"/>
    </w:pPr>
    <w:rPr>
      <w:rFonts w:ascii="Calibri" w:hAnsi="Calibri"/>
      <w:b/>
      <w:bCs/>
      <w:color w:val="000000"/>
      <w:sz w:val="28"/>
      <w:szCs w:val="28"/>
    </w:rPr>
  </w:style>
  <w:style w:type="paragraph" w:styleId="957">
    <w:name w:val="Heading 2"/>
    <w:basedOn w:val="955"/>
    <w:next w:val="955"/>
    <w:link w:val="968"/>
    <w:uiPriority w:val="9"/>
    <w:unhideWhenUsed/>
    <w:qFormat/>
    <w:pPr>
      <w:keepNext w:val="true"/>
      <w:keepLines w:val="true"/>
      <w:pBdr/>
      <w:spacing w:after="200" w:before="360"/>
      <w:ind/>
      <w:outlineLvl w:val="1"/>
    </w:pPr>
    <w:rPr>
      <w:rFonts w:ascii="Arial" w:hAnsi="Arial" w:eastAsia="Arial" w:cs="Arial"/>
      <w:sz w:val="34"/>
    </w:rPr>
  </w:style>
  <w:style w:type="paragraph" w:styleId="958">
    <w:name w:val="Heading 3"/>
    <w:basedOn w:val="955"/>
    <w:next w:val="955"/>
    <w:link w:val="969"/>
    <w:uiPriority w:val="9"/>
    <w:unhideWhenUsed/>
    <w:qFormat/>
    <w:pPr>
      <w:keepNext w:val="true"/>
      <w:keepLines w:val="true"/>
      <w:pBdr/>
      <w:spacing w:after="200" w:before="320"/>
      <w:ind/>
      <w:outlineLvl w:val="2"/>
    </w:pPr>
    <w:rPr>
      <w:rFonts w:ascii="Arial" w:hAnsi="Arial" w:eastAsia="Arial" w:cs="Arial"/>
      <w:sz w:val="30"/>
      <w:szCs w:val="30"/>
    </w:rPr>
  </w:style>
  <w:style w:type="paragraph" w:styleId="959">
    <w:name w:val="Heading 4"/>
    <w:basedOn w:val="955"/>
    <w:next w:val="955"/>
    <w:link w:val="970"/>
    <w:uiPriority w:val="9"/>
    <w:unhideWhenUsed/>
    <w:qFormat/>
    <w:pPr>
      <w:keepNext w:val="true"/>
      <w:keepLines w:val="true"/>
      <w:pBdr/>
      <w:spacing w:after="200" w:before="320"/>
      <w:ind/>
      <w:outlineLvl w:val="3"/>
    </w:pPr>
    <w:rPr>
      <w:rFonts w:ascii="Arial" w:hAnsi="Arial" w:eastAsia="Arial" w:cs="Arial"/>
      <w:b/>
      <w:bCs/>
      <w:sz w:val="26"/>
      <w:szCs w:val="26"/>
    </w:rPr>
  </w:style>
  <w:style w:type="paragraph" w:styleId="960">
    <w:name w:val="Heading 5"/>
    <w:basedOn w:val="955"/>
    <w:next w:val="955"/>
    <w:link w:val="971"/>
    <w:uiPriority w:val="9"/>
    <w:unhideWhenUsed/>
    <w:qFormat/>
    <w:pPr>
      <w:keepNext w:val="true"/>
      <w:keepLines w:val="true"/>
      <w:pBdr/>
      <w:spacing w:after="200" w:before="320"/>
      <w:ind/>
      <w:outlineLvl w:val="4"/>
    </w:pPr>
    <w:rPr>
      <w:rFonts w:ascii="Arial" w:hAnsi="Arial" w:eastAsia="Arial" w:cs="Arial"/>
      <w:b/>
      <w:bCs/>
      <w:sz w:val="24"/>
      <w:szCs w:val="24"/>
    </w:rPr>
  </w:style>
  <w:style w:type="paragraph" w:styleId="961">
    <w:name w:val="Heading 6"/>
    <w:basedOn w:val="955"/>
    <w:next w:val="955"/>
    <w:link w:val="972"/>
    <w:uiPriority w:val="9"/>
    <w:unhideWhenUsed/>
    <w:qFormat/>
    <w:pPr>
      <w:keepNext w:val="true"/>
      <w:keepLines w:val="true"/>
      <w:pBdr/>
      <w:spacing w:after="200" w:before="320"/>
      <w:ind/>
      <w:outlineLvl w:val="5"/>
    </w:pPr>
    <w:rPr>
      <w:rFonts w:ascii="Arial" w:hAnsi="Arial" w:eastAsia="Arial" w:cs="Arial"/>
      <w:b/>
      <w:bCs/>
      <w:sz w:val="22"/>
      <w:szCs w:val="22"/>
    </w:rPr>
  </w:style>
  <w:style w:type="paragraph" w:styleId="962">
    <w:name w:val="Heading 7"/>
    <w:basedOn w:val="955"/>
    <w:next w:val="955"/>
    <w:link w:val="973"/>
    <w:uiPriority w:val="9"/>
    <w:unhideWhenUsed/>
    <w:qFormat/>
    <w:pPr>
      <w:keepNext w:val="true"/>
      <w:keepLines w:val="true"/>
      <w:pBdr/>
      <w:spacing w:after="200" w:before="320"/>
      <w:ind/>
      <w:outlineLvl w:val="6"/>
    </w:pPr>
    <w:rPr>
      <w:rFonts w:ascii="Arial" w:hAnsi="Arial" w:eastAsia="Arial" w:cs="Arial"/>
      <w:b/>
      <w:bCs/>
      <w:i/>
      <w:iCs/>
      <w:sz w:val="22"/>
      <w:szCs w:val="22"/>
    </w:rPr>
  </w:style>
  <w:style w:type="paragraph" w:styleId="963">
    <w:name w:val="Heading 8"/>
    <w:basedOn w:val="955"/>
    <w:next w:val="955"/>
    <w:link w:val="974"/>
    <w:uiPriority w:val="9"/>
    <w:unhideWhenUsed/>
    <w:qFormat/>
    <w:pPr>
      <w:keepNext w:val="true"/>
      <w:keepLines w:val="true"/>
      <w:pBdr/>
      <w:spacing w:after="200" w:before="320"/>
      <w:ind/>
      <w:outlineLvl w:val="7"/>
    </w:pPr>
    <w:rPr>
      <w:rFonts w:ascii="Arial" w:hAnsi="Arial" w:eastAsia="Arial" w:cs="Arial"/>
      <w:i/>
      <w:iCs/>
      <w:sz w:val="22"/>
      <w:szCs w:val="22"/>
    </w:rPr>
  </w:style>
  <w:style w:type="paragraph" w:styleId="964">
    <w:name w:val="Heading 9"/>
    <w:basedOn w:val="955"/>
    <w:next w:val="955"/>
    <w:link w:val="975"/>
    <w:uiPriority w:val="9"/>
    <w:unhideWhenUsed/>
    <w:qFormat/>
    <w:pPr>
      <w:keepNext w:val="true"/>
      <w:keepLines w:val="true"/>
      <w:pBdr/>
      <w:spacing w:after="200" w:before="320"/>
      <w:ind/>
      <w:outlineLvl w:val="8"/>
    </w:pPr>
    <w:rPr>
      <w:rFonts w:ascii="Arial" w:hAnsi="Arial" w:eastAsia="Arial" w:cs="Arial"/>
      <w:i/>
      <w:iCs/>
      <w:sz w:val="21"/>
      <w:szCs w:val="21"/>
    </w:rPr>
  </w:style>
  <w:style w:type="character" w:styleId="965" w:default="1">
    <w:name w:val="Default Paragraph Font"/>
    <w:uiPriority w:val="1"/>
    <w:semiHidden/>
    <w:unhideWhenUsed/>
    <w:pPr>
      <w:pBdr/>
      <w:spacing/>
      <w:ind/>
    </w:pPr>
  </w:style>
  <w:style w:type="table" w:styleId="96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67" w:default="1">
    <w:name w:val="No List"/>
    <w:uiPriority w:val="99"/>
    <w:semiHidden/>
    <w:unhideWhenUsed/>
    <w:pPr>
      <w:pBdr/>
      <w:spacing/>
      <w:ind/>
    </w:pPr>
  </w:style>
  <w:style w:type="character" w:styleId="968" w:customStyle="1">
    <w:name w:val="Heading 2 Char"/>
    <w:basedOn w:val="965"/>
    <w:link w:val="957"/>
    <w:uiPriority w:val="9"/>
    <w:pPr>
      <w:pBdr/>
      <w:spacing/>
      <w:ind/>
    </w:pPr>
    <w:rPr>
      <w:rFonts w:ascii="Arial" w:hAnsi="Arial" w:eastAsia="Arial" w:cs="Arial"/>
      <w:sz w:val="34"/>
    </w:rPr>
  </w:style>
  <w:style w:type="character" w:styleId="969" w:customStyle="1">
    <w:name w:val="Heading 3 Char"/>
    <w:basedOn w:val="965"/>
    <w:link w:val="958"/>
    <w:uiPriority w:val="9"/>
    <w:pPr>
      <w:pBdr/>
      <w:spacing/>
      <w:ind/>
    </w:pPr>
    <w:rPr>
      <w:rFonts w:ascii="Arial" w:hAnsi="Arial" w:eastAsia="Arial" w:cs="Arial"/>
      <w:sz w:val="30"/>
      <w:szCs w:val="30"/>
    </w:rPr>
  </w:style>
  <w:style w:type="character" w:styleId="970" w:customStyle="1">
    <w:name w:val="Heading 4 Char"/>
    <w:basedOn w:val="965"/>
    <w:link w:val="959"/>
    <w:uiPriority w:val="9"/>
    <w:pPr>
      <w:pBdr/>
      <w:spacing/>
      <w:ind/>
    </w:pPr>
    <w:rPr>
      <w:rFonts w:ascii="Arial" w:hAnsi="Arial" w:eastAsia="Arial" w:cs="Arial"/>
      <w:b/>
      <w:bCs/>
      <w:sz w:val="26"/>
      <w:szCs w:val="26"/>
    </w:rPr>
  </w:style>
  <w:style w:type="character" w:styleId="971" w:customStyle="1">
    <w:name w:val="Heading 5 Char"/>
    <w:basedOn w:val="965"/>
    <w:link w:val="960"/>
    <w:uiPriority w:val="9"/>
    <w:pPr>
      <w:pBdr/>
      <w:spacing/>
      <w:ind/>
    </w:pPr>
    <w:rPr>
      <w:rFonts w:ascii="Arial" w:hAnsi="Arial" w:eastAsia="Arial" w:cs="Arial"/>
      <w:b/>
      <w:bCs/>
      <w:sz w:val="24"/>
      <w:szCs w:val="24"/>
    </w:rPr>
  </w:style>
  <w:style w:type="character" w:styleId="972" w:customStyle="1">
    <w:name w:val="Heading 6 Char"/>
    <w:basedOn w:val="965"/>
    <w:link w:val="961"/>
    <w:uiPriority w:val="9"/>
    <w:pPr>
      <w:pBdr/>
      <w:spacing/>
      <w:ind/>
    </w:pPr>
    <w:rPr>
      <w:rFonts w:ascii="Arial" w:hAnsi="Arial" w:eastAsia="Arial" w:cs="Arial"/>
      <w:b/>
      <w:bCs/>
      <w:sz w:val="22"/>
      <w:szCs w:val="22"/>
    </w:rPr>
  </w:style>
  <w:style w:type="character" w:styleId="973" w:customStyle="1">
    <w:name w:val="Heading 7 Char"/>
    <w:basedOn w:val="965"/>
    <w:link w:val="962"/>
    <w:uiPriority w:val="9"/>
    <w:pPr>
      <w:pBdr/>
      <w:spacing/>
      <w:ind/>
    </w:pPr>
    <w:rPr>
      <w:rFonts w:ascii="Arial" w:hAnsi="Arial" w:eastAsia="Arial" w:cs="Arial"/>
      <w:b/>
      <w:bCs/>
      <w:i/>
      <w:iCs/>
      <w:sz w:val="22"/>
      <w:szCs w:val="22"/>
    </w:rPr>
  </w:style>
  <w:style w:type="character" w:styleId="974" w:customStyle="1">
    <w:name w:val="Heading 8 Char"/>
    <w:basedOn w:val="965"/>
    <w:link w:val="963"/>
    <w:uiPriority w:val="9"/>
    <w:pPr>
      <w:pBdr/>
      <w:spacing/>
      <w:ind/>
    </w:pPr>
    <w:rPr>
      <w:rFonts w:ascii="Arial" w:hAnsi="Arial" w:eastAsia="Arial" w:cs="Arial"/>
      <w:i/>
      <w:iCs/>
      <w:sz w:val="22"/>
      <w:szCs w:val="22"/>
    </w:rPr>
  </w:style>
  <w:style w:type="character" w:styleId="975" w:customStyle="1">
    <w:name w:val="Heading 9 Char"/>
    <w:basedOn w:val="965"/>
    <w:link w:val="964"/>
    <w:uiPriority w:val="9"/>
    <w:pPr>
      <w:pBdr/>
      <w:spacing/>
      <w:ind/>
    </w:pPr>
    <w:rPr>
      <w:rFonts w:ascii="Arial" w:hAnsi="Arial" w:eastAsia="Arial" w:cs="Arial"/>
      <w:i/>
      <w:iCs/>
      <w:sz w:val="21"/>
      <w:szCs w:val="21"/>
    </w:rPr>
  </w:style>
  <w:style w:type="paragraph" w:styleId="976">
    <w:name w:val="No Spacing"/>
    <w:uiPriority w:val="1"/>
    <w:qFormat/>
    <w:pPr>
      <w:pBdr/>
      <w:spacing/>
      <w:ind/>
    </w:pPr>
  </w:style>
  <w:style w:type="paragraph" w:styleId="977">
    <w:name w:val="Title"/>
    <w:basedOn w:val="955"/>
    <w:next w:val="955"/>
    <w:link w:val="978"/>
    <w:uiPriority w:val="10"/>
    <w:qFormat/>
    <w:pPr>
      <w:pBdr/>
      <w:spacing w:after="200" w:before="300"/>
      <w:ind/>
      <w:contextualSpacing w:val="true"/>
    </w:pPr>
    <w:rPr>
      <w:sz w:val="48"/>
      <w:szCs w:val="48"/>
    </w:rPr>
  </w:style>
  <w:style w:type="character" w:styleId="978" w:customStyle="1">
    <w:name w:val="Title Char"/>
    <w:basedOn w:val="965"/>
    <w:link w:val="977"/>
    <w:uiPriority w:val="10"/>
    <w:pPr>
      <w:pBdr/>
      <w:spacing/>
      <w:ind/>
    </w:pPr>
    <w:rPr>
      <w:sz w:val="48"/>
      <w:szCs w:val="48"/>
    </w:rPr>
  </w:style>
  <w:style w:type="paragraph" w:styleId="979">
    <w:name w:val="Subtitle"/>
    <w:basedOn w:val="955"/>
    <w:next w:val="955"/>
    <w:link w:val="980"/>
    <w:uiPriority w:val="11"/>
    <w:qFormat/>
    <w:pPr>
      <w:pBdr/>
      <w:spacing w:after="200" w:before="200"/>
      <w:ind/>
    </w:pPr>
    <w:rPr>
      <w:sz w:val="24"/>
      <w:szCs w:val="24"/>
    </w:rPr>
  </w:style>
  <w:style w:type="character" w:styleId="980" w:customStyle="1">
    <w:name w:val="Subtitle Char"/>
    <w:basedOn w:val="965"/>
    <w:link w:val="979"/>
    <w:uiPriority w:val="11"/>
    <w:pPr>
      <w:pBdr/>
      <w:spacing/>
      <w:ind/>
    </w:pPr>
    <w:rPr>
      <w:sz w:val="24"/>
      <w:szCs w:val="24"/>
    </w:rPr>
  </w:style>
  <w:style w:type="paragraph" w:styleId="981">
    <w:name w:val="Quote"/>
    <w:basedOn w:val="955"/>
    <w:next w:val="955"/>
    <w:link w:val="982"/>
    <w:uiPriority w:val="29"/>
    <w:qFormat/>
    <w:pPr>
      <w:pBdr/>
      <w:spacing/>
      <w:ind w:right="720" w:left="720"/>
    </w:pPr>
    <w:rPr>
      <w:i/>
    </w:rPr>
  </w:style>
  <w:style w:type="character" w:styleId="982" w:customStyle="1">
    <w:name w:val="Quote Char"/>
    <w:link w:val="981"/>
    <w:uiPriority w:val="29"/>
    <w:pPr>
      <w:pBdr/>
      <w:spacing/>
      <w:ind/>
    </w:pPr>
    <w:rPr>
      <w:i/>
    </w:rPr>
  </w:style>
  <w:style w:type="paragraph" w:styleId="983">
    <w:name w:val="Intense Quote"/>
    <w:basedOn w:val="955"/>
    <w:next w:val="955"/>
    <w:link w:val="984"/>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pPr>
    <w:rPr>
      <w:i/>
    </w:rPr>
  </w:style>
  <w:style w:type="character" w:styleId="984" w:customStyle="1">
    <w:name w:val="Intense Quote Char"/>
    <w:link w:val="983"/>
    <w:uiPriority w:val="30"/>
    <w:pPr>
      <w:pBdr/>
      <w:spacing/>
      <w:ind/>
    </w:pPr>
    <w:rPr>
      <w:i/>
    </w:rPr>
  </w:style>
  <w:style w:type="paragraph" w:styleId="985">
    <w:name w:val="Caption"/>
    <w:basedOn w:val="955"/>
    <w:next w:val="955"/>
    <w:uiPriority w:val="35"/>
    <w:semiHidden/>
    <w:unhideWhenUsed/>
    <w:qFormat/>
    <w:pPr>
      <w:pBdr/>
      <w:spacing w:line="276" w:lineRule="auto"/>
      <w:ind/>
    </w:pPr>
    <w:rPr>
      <w:b/>
      <w:bCs/>
      <w:color w:val="4f81bd" w:themeColor="accent1"/>
      <w:sz w:val="18"/>
      <w:szCs w:val="18"/>
    </w:rPr>
  </w:style>
  <w:style w:type="character" w:styleId="986" w:customStyle="1">
    <w:name w:val="Caption Char"/>
    <w:uiPriority w:val="99"/>
    <w:pPr>
      <w:pBdr/>
      <w:spacing/>
      <w:ind/>
    </w:pPr>
  </w:style>
  <w:style w:type="table" w:styleId="987">
    <w:name w:val="Table Grid"/>
    <w:basedOn w:val="966"/>
    <w:uiPriority w:val="5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Light"/>
    <w:basedOn w:val="966"/>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Plain Table 1"/>
    <w:basedOn w:val="966"/>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Plain Table 2"/>
    <w:basedOn w:val="966"/>
    <w:uiPriority w:val="59"/>
    <w:pPr>
      <w:pBdr/>
      <w:spacing/>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Plain Table 3"/>
    <w:basedOn w:val="966"/>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Plain Table 4"/>
    <w:basedOn w:val="966"/>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Plain Table 5"/>
    <w:basedOn w:val="966"/>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Grid Table 1 Light"/>
    <w:basedOn w:val="966"/>
    <w:uiPriority w:val="99"/>
    <w:pPr>
      <w:pBdr/>
      <w:spacing/>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Grid Table 1 Light Accent 1"/>
    <w:basedOn w:val="966"/>
    <w:uiPriority w:val="99"/>
    <w:pPr>
      <w:pBdr/>
      <w:spacing/>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customStyle="1">
    <w:name w:val="Grid Table 1 Light - Accent 2"/>
    <w:basedOn w:val="966"/>
    <w:uiPriority w:val="99"/>
    <w:pPr>
      <w:pBdr/>
      <w:spacing/>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Grid Table 1 Light Accent 3"/>
    <w:basedOn w:val="966"/>
    <w:uiPriority w:val="99"/>
    <w:pPr>
      <w:pBdr/>
      <w:spacing/>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Grid Table 1 Light Accent 4"/>
    <w:basedOn w:val="966"/>
    <w:uiPriority w:val="99"/>
    <w:pPr>
      <w:pBdr/>
      <w:spacing/>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Grid Table 1 Light Accent 5"/>
    <w:basedOn w:val="966"/>
    <w:uiPriority w:val="99"/>
    <w:pPr>
      <w:pBdr/>
      <w:spacing/>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Grid Table 1 Light Accent 6"/>
    <w:basedOn w:val="966"/>
    <w:uiPriority w:val="99"/>
    <w:pPr>
      <w:pBdr/>
      <w:spacing/>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Grid Table 2"/>
    <w:basedOn w:val="966"/>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Grid Table 2 Accent 1"/>
    <w:basedOn w:val="966"/>
    <w:uiPriority w:val="99"/>
    <w:pPr>
      <w:pBdr/>
      <w:spacing/>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Grid Table 2 Accent 2"/>
    <w:basedOn w:val="966"/>
    <w:uiPriority w:val="99"/>
    <w:pPr>
      <w:pBdr/>
      <w:spacing/>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Grid Table 2 Accent 3"/>
    <w:basedOn w:val="966"/>
    <w:uiPriority w:val="99"/>
    <w:pPr>
      <w:pBdr/>
      <w:spacing/>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Grid Table 2 Accent 4"/>
    <w:basedOn w:val="966"/>
    <w:uiPriority w:val="99"/>
    <w:pPr>
      <w:pBdr/>
      <w:spacing/>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Grid Table 2 Accent 5"/>
    <w:basedOn w:val="966"/>
    <w:uiPriority w:val="99"/>
    <w:pPr>
      <w:pBdr/>
      <w:spacing/>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Grid Table 2 Accent 6"/>
    <w:basedOn w:val="966"/>
    <w:uiPriority w:val="99"/>
    <w:pPr>
      <w:pBdr/>
      <w:spacing/>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Grid Table 3"/>
    <w:basedOn w:val="966"/>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Grid Table 3 Accent 1"/>
    <w:basedOn w:val="966"/>
    <w:uiPriority w:val="99"/>
    <w:pPr>
      <w:pBdr/>
      <w:spacing/>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Grid Table 3 Accent 2"/>
    <w:basedOn w:val="966"/>
    <w:uiPriority w:val="99"/>
    <w:pPr>
      <w:pBdr/>
      <w:spacing/>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Grid Table 3 Accent 3"/>
    <w:basedOn w:val="966"/>
    <w:uiPriority w:val="99"/>
    <w:pPr>
      <w:pBdr/>
      <w:spacing/>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Grid Table 3 Accent 4"/>
    <w:basedOn w:val="966"/>
    <w:uiPriority w:val="99"/>
    <w:pPr>
      <w:pBdr/>
      <w:spacing/>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Grid Table 3 Accent 5"/>
    <w:basedOn w:val="966"/>
    <w:uiPriority w:val="99"/>
    <w:pPr>
      <w:pBdr/>
      <w:spacing/>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Grid Table 3 Accent 6"/>
    <w:basedOn w:val="966"/>
    <w:uiPriority w:val="99"/>
    <w:pPr>
      <w:pBdr/>
      <w:spacing/>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Grid Table 4"/>
    <w:basedOn w:val="966"/>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Grid Table 4 Accent 1"/>
    <w:basedOn w:val="966"/>
    <w:uiPriority w:val="59"/>
    <w:pPr>
      <w:pBdr/>
      <w:spacing/>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Grid Table 4 Accent 2"/>
    <w:basedOn w:val="966"/>
    <w:uiPriority w:val="59"/>
    <w:pPr>
      <w:pBdr/>
      <w:spacing/>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Grid Table 4 Accent 3"/>
    <w:basedOn w:val="966"/>
    <w:uiPriority w:val="59"/>
    <w:pPr>
      <w:pBdr/>
      <w:spacing/>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Grid Table 4 Accent 4"/>
    <w:basedOn w:val="966"/>
    <w:uiPriority w:val="59"/>
    <w:pPr>
      <w:pBdr/>
      <w:spacing/>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Grid Table 4 Accent 5"/>
    <w:basedOn w:val="966"/>
    <w:uiPriority w:val="59"/>
    <w:pPr>
      <w:pBdr/>
      <w:spacing/>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Grid Table 4 Accent 6"/>
    <w:basedOn w:val="966"/>
    <w:uiPriority w:val="59"/>
    <w:pPr>
      <w:pBdr/>
      <w:spacing/>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Grid Table 5 Dark"/>
    <w:basedOn w:val="966"/>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customStyle="1">
    <w:name w:val="Grid Table 5 Dark- Accent 1"/>
    <w:basedOn w:val="966"/>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Grid Table 5 Dark Accent 2"/>
    <w:basedOn w:val="966"/>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Grid Table 5 Dark Accent 3"/>
    <w:basedOn w:val="966"/>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customStyle="1">
    <w:name w:val="Grid Table 5 Dark- Accent 4"/>
    <w:basedOn w:val="966"/>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Grid Table 5 Dark Accent 5"/>
    <w:basedOn w:val="966"/>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Grid Table 5 Dark Accent 6"/>
    <w:basedOn w:val="966"/>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Grid Table 6 Colorful"/>
    <w:basedOn w:val="966"/>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customStyle="1">
    <w:name w:val="Grid Table 6 Colorful - Accent 1"/>
    <w:basedOn w:val="966"/>
    <w:uiPriority w:val="99"/>
    <w:pPr>
      <w:pBdr/>
      <w:spacing/>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customStyle="1">
    <w:name w:val="Grid Table 6 Colorful - Accent 2"/>
    <w:basedOn w:val="966"/>
    <w:uiPriority w:val="99"/>
    <w:pPr>
      <w:pBdr/>
      <w:spacing/>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customStyle="1">
    <w:name w:val="Grid Table 6 Colorful - Accent 3"/>
    <w:basedOn w:val="966"/>
    <w:uiPriority w:val="99"/>
    <w:pPr>
      <w:pBdr/>
      <w:spacing/>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customStyle="1">
    <w:name w:val="Grid Table 6 Colorful - Accent 4"/>
    <w:basedOn w:val="966"/>
    <w:uiPriority w:val="99"/>
    <w:pPr>
      <w:pBdr/>
      <w:spacing/>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customStyle="1">
    <w:name w:val="Grid Table 6 Colorful - Accent 5"/>
    <w:basedOn w:val="966"/>
    <w:uiPriority w:val="99"/>
    <w:pPr>
      <w:pBdr/>
      <w:spacing/>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customStyle="1">
    <w:name w:val="Grid Table 6 Colorful - Accent 6"/>
    <w:basedOn w:val="966"/>
    <w:uiPriority w:val="99"/>
    <w:pPr>
      <w:pBdr/>
      <w:spacing/>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Grid Table 7 Colorful"/>
    <w:basedOn w:val="966"/>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customStyle="1">
    <w:name w:val="Grid Table 7 Colorful - Accent 1"/>
    <w:basedOn w:val="966"/>
    <w:uiPriority w:val="99"/>
    <w:pPr>
      <w:pBdr/>
      <w:spacing/>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customStyle="1">
    <w:name w:val="Grid Table 7 Colorful - Accent 2"/>
    <w:basedOn w:val="966"/>
    <w:uiPriority w:val="99"/>
    <w:pPr>
      <w:pBdr/>
      <w:spacing/>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customStyle="1">
    <w:name w:val="Grid Table 7 Colorful - Accent 3"/>
    <w:basedOn w:val="966"/>
    <w:uiPriority w:val="99"/>
    <w:pPr>
      <w:pBdr/>
      <w:spacing/>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customStyle="1">
    <w:name w:val="Grid Table 7 Colorful - Accent 4"/>
    <w:basedOn w:val="966"/>
    <w:uiPriority w:val="99"/>
    <w:pPr>
      <w:pBdr/>
      <w:spacing/>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customStyle="1">
    <w:name w:val="Grid Table 7 Colorful - Accent 5"/>
    <w:basedOn w:val="966"/>
    <w:uiPriority w:val="99"/>
    <w:pPr>
      <w:pBdr/>
      <w:spacing/>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customStyle="1">
    <w:name w:val="Grid Table 7 Colorful - Accent 6"/>
    <w:basedOn w:val="966"/>
    <w:uiPriority w:val="99"/>
    <w:pPr>
      <w:pBdr/>
      <w:spacing/>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st Table 1 Light"/>
    <w:basedOn w:val="966"/>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st Table 1 Light Accent 1"/>
    <w:basedOn w:val="966"/>
    <w:uiPriority w:val="99"/>
    <w:pPr>
      <w:pBdr/>
      <w:spacing/>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st Table 1 Light Accent 2"/>
    <w:basedOn w:val="966"/>
    <w:uiPriority w:val="99"/>
    <w:pPr>
      <w:pBdr/>
      <w:spacing/>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st Table 1 Light Accent 3"/>
    <w:basedOn w:val="966"/>
    <w:uiPriority w:val="99"/>
    <w:pPr>
      <w:pBdr/>
      <w:spacing/>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st Table 1 Light Accent 4"/>
    <w:basedOn w:val="966"/>
    <w:uiPriority w:val="99"/>
    <w:pPr>
      <w:pBdr/>
      <w:spacing/>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st Table 1 Light Accent 5"/>
    <w:basedOn w:val="966"/>
    <w:uiPriority w:val="99"/>
    <w:pPr>
      <w:pBdr/>
      <w:spacing/>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st Table 1 Light Accent 6"/>
    <w:basedOn w:val="966"/>
    <w:uiPriority w:val="99"/>
    <w:pPr>
      <w:pBdr/>
      <w:spacing/>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st Table 2"/>
    <w:basedOn w:val="966"/>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st Table 2 Accent 1"/>
    <w:basedOn w:val="966"/>
    <w:uiPriority w:val="99"/>
    <w:pPr>
      <w:pBdr/>
      <w:spacing/>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st Table 2 Accent 2"/>
    <w:basedOn w:val="966"/>
    <w:uiPriority w:val="99"/>
    <w:pPr>
      <w:pBdr/>
      <w:spacing/>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st Table 2 Accent 3"/>
    <w:basedOn w:val="966"/>
    <w:uiPriority w:val="99"/>
    <w:pPr>
      <w:pBdr/>
      <w:spacing/>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st Table 2 Accent 4"/>
    <w:basedOn w:val="966"/>
    <w:uiPriority w:val="99"/>
    <w:pPr>
      <w:pBdr/>
      <w:spacing/>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List Table 2 Accent 5"/>
    <w:basedOn w:val="966"/>
    <w:uiPriority w:val="99"/>
    <w:pPr>
      <w:pBdr/>
      <w:spacing/>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List Table 2 Accent 6"/>
    <w:basedOn w:val="966"/>
    <w:uiPriority w:val="99"/>
    <w:pPr>
      <w:pBdr/>
      <w:spacing/>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List Table 3"/>
    <w:basedOn w:val="966"/>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List Table 3 Accent 1"/>
    <w:basedOn w:val="966"/>
    <w:uiPriority w:val="99"/>
    <w:pPr>
      <w:pBdr/>
      <w:spacing/>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List Table 3 Accent 2"/>
    <w:basedOn w:val="966"/>
    <w:uiPriority w:val="99"/>
    <w:pPr>
      <w:pBdr/>
      <w:spacing/>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List Table 3 Accent 3"/>
    <w:basedOn w:val="966"/>
    <w:uiPriority w:val="99"/>
    <w:pPr>
      <w:pBdr/>
      <w:spacing/>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List Table 3 Accent 4"/>
    <w:basedOn w:val="966"/>
    <w:uiPriority w:val="99"/>
    <w:pPr>
      <w:pBdr/>
      <w:spacing/>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List Table 3 Accent 5"/>
    <w:basedOn w:val="966"/>
    <w:uiPriority w:val="99"/>
    <w:pPr>
      <w:pBdr/>
      <w:spacing/>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List Table 3 Accent 6"/>
    <w:basedOn w:val="966"/>
    <w:uiPriority w:val="99"/>
    <w:pPr>
      <w:pBdr/>
      <w:spacing/>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List Table 4"/>
    <w:basedOn w:val="966"/>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List Table 4 Accent 1"/>
    <w:basedOn w:val="966"/>
    <w:uiPriority w:val="99"/>
    <w:pPr>
      <w:pBdr/>
      <w:spacing/>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List Table 4 Accent 2"/>
    <w:basedOn w:val="966"/>
    <w:uiPriority w:val="99"/>
    <w:pPr>
      <w:pBdr/>
      <w:spacing/>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List Table 4 Accent 3"/>
    <w:basedOn w:val="966"/>
    <w:uiPriority w:val="99"/>
    <w:pPr>
      <w:pBdr/>
      <w:spacing/>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List Table 4 Accent 4"/>
    <w:basedOn w:val="966"/>
    <w:uiPriority w:val="99"/>
    <w:pPr>
      <w:pBdr/>
      <w:spacing/>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List Table 4 Accent 5"/>
    <w:basedOn w:val="966"/>
    <w:uiPriority w:val="99"/>
    <w:pPr>
      <w:pBdr/>
      <w:spacing/>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List Table 4 Accent 6"/>
    <w:basedOn w:val="966"/>
    <w:uiPriority w:val="99"/>
    <w:pPr>
      <w:pBdr/>
      <w:spacing/>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List Table 5 Dark"/>
    <w:basedOn w:val="966"/>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List Table 5 Dark Accent 1"/>
    <w:basedOn w:val="966"/>
    <w:uiPriority w:val="99"/>
    <w:pPr>
      <w:pBdr/>
      <w:spacing/>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List Table 5 Dark Accent 2"/>
    <w:basedOn w:val="966"/>
    <w:uiPriority w:val="99"/>
    <w:pPr>
      <w:pBdr/>
      <w:spacing/>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List Table 5 Dark Accent 3"/>
    <w:basedOn w:val="966"/>
    <w:uiPriority w:val="99"/>
    <w:pPr>
      <w:pBdr/>
      <w:spacing/>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List Table 5 Dark Accent 4"/>
    <w:basedOn w:val="966"/>
    <w:uiPriority w:val="99"/>
    <w:pPr>
      <w:pBdr/>
      <w:spacing/>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List Table 5 Dark Accent 5"/>
    <w:basedOn w:val="966"/>
    <w:uiPriority w:val="99"/>
    <w:pPr>
      <w:pBdr/>
      <w:spacing/>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List Table 5 Dark Accent 6"/>
    <w:basedOn w:val="966"/>
    <w:uiPriority w:val="99"/>
    <w:pPr>
      <w:pBdr/>
      <w:spacing/>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List Table 6 Colorful"/>
    <w:basedOn w:val="966"/>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customStyle="1">
    <w:name w:val="List Table 6 Colorful - Accent 1"/>
    <w:basedOn w:val="966"/>
    <w:uiPriority w:val="99"/>
    <w:pPr>
      <w:pBdr/>
      <w:spacing/>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customStyle="1">
    <w:name w:val="List Table 6 Colorful - Accent 2"/>
    <w:basedOn w:val="966"/>
    <w:uiPriority w:val="99"/>
    <w:pPr>
      <w:pBdr/>
      <w:spacing/>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customStyle="1">
    <w:name w:val="List Table 6 Colorful - Accent 3"/>
    <w:basedOn w:val="966"/>
    <w:uiPriority w:val="99"/>
    <w:pPr>
      <w:pBdr/>
      <w:spacing/>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customStyle="1">
    <w:name w:val="List Table 6 Colorful - Accent 4"/>
    <w:basedOn w:val="966"/>
    <w:uiPriority w:val="99"/>
    <w:pPr>
      <w:pBdr/>
      <w:spacing/>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customStyle="1">
    <w:name w:val="List Table 6 Colorful - Accent 5"/>
    <w:basedOn w:val="966"/>
    <w:uiPriority w:val="99"/>
    <w:pPr>
      <w:pBdr/>
      <w:spacing/>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customStyle="1">
    <w:name w:val="List Table 6 Colorful - Accent 6"/>
    <w:basedOn w:val="966"/>
    <w:uiPriority w:val="99"/>
    <w:pPr>
      <w:pBdr/>
      <w:spacing/>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List Table 7 Colorful"/>
    <w:basedOn w:val="966"/>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customStyle="1">
    <w:name w:val="List Table 7 Colorful - Accent 1"/>
    <w:basedOn w:val="966"/>
    <w:uiPriority w:val="99"/>
    <w:pPr>
      <w:pBdr/>
      <w:spacing/>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customStyle="1">
    <w:name w:val="List Table 7 Colorful - Accent 2"/>
    <w:basedOn w:val="966"/>
    <w:uiPriority w:val="99"/>
    <w:pPr>
      <w:pBdr/>
      <w:spacing/>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customStyle="1">
    <w:name w:val="List Table 7 Colorful - Accent 3"/>
    <w:basedOn w:val="966"/>
    <w:uiPriority w:val="99"/>
    <w:pPr>
      <w:pBdr/>
      <w:spacing/>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customStyle="1">
    <w:name w:val="List Table 7 Colorful - Accent 4"/>
    <w:basedOn w:val="966"/>
    <w:uiPriority w:val="99"/>
    <w:pPr>
      <w:pBdr/>
      <w:spacing/>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customStyle="1">
    <w:name w:val="List Table 7 Colorful - Accent 5"/>
    <w:basedOn w:val="966"/>
    <w:uiPriority w:val="99"/>
    <w:pPr>
      <w:pBdr/>
      <w:spacing/>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customStyle="1">
    <w:name w:val="List Table 7 Colorful - Accent 6"/>
    <w:basedOn w:val="966"/>
    <w:uiPriority w:val="99"/>
    <w:pPr>
      <w:pBdr/>
      <w:spacing/>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customStyle="1">
    <w:name w:val="Lined - Accent"/>
    <w:basedOn w:val="966"/>
    <w:uiPriority w:val="99"/>
    <w:pPr>
      <w:pBdr/>
      <w:spacing/>
      <w:ind/>
    </w:pPr>
    <w:rPr>
      <w:color w:val="404040"/>
      <w:lang w:eastAsia="en-GB"/>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customStyle="1">
    <w:name w:val="Lined - Accent 1"/>
    <w:basedOn w:val="966"/>
    <w:uiPriority w:val="99"/>
    <w:pPr>
      <w:pBdr/>
      <w:spacing/>
      <w:ind/>
    </w:pPr>
    <w:rPr>
      <w:color w:val="404040"/>
      <w:lang w:eastAsia="en-GB"/>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customStyle="1">
    <w:name w:val="Lined - Accent 2"/>
    <w:basedOn w:val="966"/>
    <w:uiPriority w:val="99"/>
    <w:pPr>
      <w:pBdr/>
      <w:spacing/>
      <w:ind/>
    </w:pPr>
    <w:rPr>
      <w:color w:val="404040"/>
      <w:lang w:eastAsia="en-GB"/>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customStyle="1">
    <w:name w:val="Lined - Accent 3"/>
    <w:basedOn w:val="966"/>
    <w:uiPriority w:val="99"/>
    <w:pPr>
      <w:pBdr/>
      <w:spacing/>
      <w:ind/>
    </w:pPr>
    <w:rPr>
      <w:color w:val="404040"/>
      <w:lang w:eastAsia="en-GB"/>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customStyle="1">
    <w:name w:val="Lined - Accent 4"/>
    <w:basedOn w:val="966"/>
    <w:uiPriority w:val="99"/>
    <w:pPr>
      <w:pBdr/>
      <w:spacing/>
      <w:ind/>
    </w:pPr>
    <w:rPr>
      <w:color w:val="404040"/>
      <w:lang w:eastAsia="en-GB"/>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customStyle="1">
    <w:name w:val="Lined - Accent 5"/>
    <w:basedOn w:val="966"/>
    <w:uiPriority w:val="99"/>
    <w:pPr>
      <w:pBdr/>
      <w:spacing/>
      <w:ind/>
    </w:pPr>
    <w:rPr>
      <w:color w:val="404040"/>
      <w:lang w:eastAsia="en-GB"/>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customStyle="1">
    <w:name w:val="Lined - Accent 6"/>
    <w:basedOn w:val="966"/>
    <w:uiPriority w:val="99"/>
    <w:pPr>
      <w:pBdr/>
      <w:spacing/>
      <w:ind/>
    </w:pPr>
    <w:rPr>
      <w:color w:val="404040"/>
      <w:lang w:eastAsia="en-GB"/>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customStyle="1">
    <w:name w:val="Bordered &amp; Lined - Accent"/>
    <w:basedOn w:val="966"/>
    <w:uiPriority w:val="99"/>
    <w:pPr>
      <w:pBdr/>
      <w:spacing/>
      <w:ind/>
    </w:pPr>
    <w:rPr>
      <w:color w:val="404040"/>
      <w:lang w:eastAsia="en-GB"/>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customStyle="1">
    <w:name w:val="Bordered &amp; Lined - Accent 1"/>
    <w:basedOn w:val="966"/>
    <w:uiPriority w:val="99"/>
    <w:pPr>
      <w:pBdr/>
      <w:spacing/>
      <w:ind/>
    </w:pPr>
    <w:rPr>
      <w:color w:val="404040"/>
      <w:lang w:eastAsia="en-GB"/>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customStyle="1">
    <w:name w:val="Bordered &amp; Lined - Accent 2"/>
    <w:basedOn w:val="966"/>
    <w:uiPriority w:val="99"/>
    <w:pPr>
      <w:pBdr/>
      <w:spacing/>
      <w:ind/>
    </w:pPr>
    <w:rPr>
      <w:color w:val="404040"/>
      <w:lang w:eastAsia="en-GB"/>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customStyle="1">
    <w:name w:val="Bordered &amp; Lined - Accent 3"/>
    <w:basedOn w:val="966"/>
    <w:uiPriority w:val="99"/>
    <w:pPr>
      <w:pBdr/>
      <w:spacing/>
      <w:ind/>
    </w:pPr>
    <w:rPr>
      <w:color w:val="404040"/>
      <w:lang w:eastAsia="en-GB"/>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customStyle="1">
    <w:name w:val="Bordered &amp; Lined - Accent 4"/>
    <w:basedOn w:val="966"/>
    <w:uiPriority w:val="99"/>
    <w:pPr>
      <w:pBdr/>
      <w:spacing/>
      <w:ind/>
    </w:pPr>
    <w:rPr>
      <w:color w:val="404040"/>
      <w:lang w:eastAsia="en-GB"/>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customStyle="1">
    <w:name w:val="Bordered &amp; Lined - Accent 5"/>
    <w:basedOn w:val="966"/>
    <w:uiPriority w:val="99"/>
    <w:pPr>
      <w:pBdr/>
      <w:spacing/>
      <w:ind/>
    </w:pPr>
    <w:rPr>
      <w:color w:val="404040"/>
      <w:lang w:eastAsia="en-GB"/>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customStyle="1">
    <w:name w:val="Bordered &amp; Lined - Accent 6"/>
    <w:basedOn w:val="966"/>
    <w:uiPriority w:val="99"/>
    <w:pPr>
      <w:pBdr/>
      <w:spacing/>
      <w:ind/>
    </w:pPr>
    <w:rPr>
      <w:color w:val="404040"/>
      <w:lang w:eastAsia="en-GB"/>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customStyle="1">
    <w:name w:val="Bordered"/>
    <w:basedOn w:val="966"/>
    <w:uiPriority w:val="99"/>
    <w:pPr>
      <w:pBdr/>
      <w:spacing/>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customStyle="1">
    <w:name w:val="Bordered - Accent 1"/>
    <w:basedOn w:val="966"/>
    <w:uiPriority w:val="99"/>
    <w:pPr>
      <w:pBdr/>
      <w:spacing/>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customStyle="1">
    <w:name w:val="Bordered - Accent 2"/>
    <w:basedOn w:val="966"/>
    <w:uiPriority w:val="99"/>
    <w:pPr>
      <w:pBdr/>
      <w:spacing/>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customStyle="1">
    <w:name w:val="Bordered - Accent 3"/>
    <w:basedOn w:val="966"/>
    <w:uiPriority w:val="99"/>
    <w:pPr>
      <w:pBdr/>
      <w:spacing/>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customStyle="1">
    <w:name w:val="Bordered - Accent 4"/>
    <w:basedOn w:val="966"/>
    <w:uiPriority w:val="99"/>
    <w:pPr>
      <w:pBdr/>
      <w:spacing/>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customStyle="1">
    <w:name w:val="Bordered - Accent 5"/>
    <w:basedOn w:val="966"/>
    <w:uiPriority w:val="99"/>
    <w:pPr>
      <w:pBdr/>
      <w:spacing/>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customStyle="1">
    <w:name w:val="Bordered - Accent 6"/>
    <w:basedOn w:val="966"/>
    <w:uiPriority w:val="99"/>
    <w:pPr>
      <w:pBdr/>
      <w:spacing/>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13">
    <w:name w:val="footnote text"/>
    <w:basedOn w:val="955"/>
    <w:link w:val="1114"/>
    <w:uiPriority w:val="99"/>
    <w:semiHidden/>
    <w:unhideWhenUsed/>
    <w:pPr>
      <w:pBdr/>
      <w:spacing w:after="40"/>
      <w:ind/>
    </w:pPr>
    <w:rPr>
      <w:sz w:val="18"/>
    </w:rPr>
  </w:style>
  <w:style w:type="character" w:styleId="1114" w:customStyle="1">
    <w:name w:val="Footnote Text Char"/>
    <w:link w:val="1113"/>
    <w:uiPriority w:val="99"/>
    <w:pPr>
      <w:pBdr/>
      <w:spacing/>
      <w:ind/>
    </w:pPr>
    <w:rPr>
      <w:sz w:val="18"/>
    </w:rPr>
  </w:style>
  <w:style w:type="character" w:styleId="1115">
    <w:name w:val="footnote reference"/>
    <w:basedOn w:val="965"/>
    <w:uiPriority w:val="99"/>
    <w:unhideWhenUsed/>
    <w:pPr>
      <w:pBdr/>
      <w:spacing/>
      <w:ind/>
    </w:pPr>
    <w:rPr>
      <w:vertAlign w:val="superscript"/>
    </w:rPr>
  </w:style>
  <w:style w:type="paragraph" w:styleId="1116">
    <w:name w:val="endnote text"/>
    <w:basedOn w:val="955"/>
    <w:link w:val="1117"/>
    <w:uiPriority w:val="99"/>
    <w:semiHidden/>
    <w:unhideWhenUsed/>
    <w:pPr>
      <w:pBdr/>
      <w:spacing/>
      <w:ind/>
    </w:pPr>
  </w:style>
  <w:style w:type="character" w:styleId="1117" w:customStyle="1">
    <w:name w:val="Endnote Text Char"/>
    <w:link w:val="1116"/>
    <w:uiPriority w:val="99"/>
    <w:pPr>
      <w:pBdr/>
      <w:spacing/>
      <w:ind/>
    </w:pPr>
    <w:rPr>
      <w:sz w:val="20"/>
    </w:rPr>
  </w:style>
  <w:style w:type="character" w:styleId="1118">
    <w:name w:val="endnote reference"/>
    <w:basedOn w:val="965"/>
    <w:uiPriority w:val="99"/>
    <w:semiHidden/>
    <w:unhideWhenUsed/>
    <w:pPr>
      <w:pBdr/>
      <w:spacing/>
      <w:ind/>
    </w:pPr>
    <w:rPr>
      <w:vertAlign w:val="superscript"/>
    </w:rPr>
  </w:style>
  <w:style w:type="paragraph" w:styleId="1119">
    <w:name w:val="toc 1"/>
    <w:basedOn w:val="955"/>
    <w:next w:val="955"/>
    <w:uiPriority w:val="39"/>
    <w:unhideWhenUsed/>
    <w:pPr>
      <w:pBdr/>
      <w:spacing w:after="57"/>
      <w:ind/>
    </w:pPr>
  </w:style>
  <w:style w:type="paragraph" w:styleId="1120">
    <w:name w:val="toc 2"/>
    <w:basedOn w:val="955"/>
    <w:next w:val="955"/>
    <w:uiPriority w:val="39"/>
    <w:unhideWhenUsed/>
    <w:pPr>
      <w:pBdr/>
      <w:spacing w:after="57"/>
      <w:ind w:left="283"/>
    </w:pPr>
  </w:style>
  <w:style w:type="paragraph" w:styleId="1121">
    <w:name w:val="toc 3"/>
    <w:basedOn w:val="955"/>
    <w:next w:val="955"/>
    <w:uiPriority w:val="39"/>
    <w:unhideWhenUsed/>
    <w:pPr>
      <w:pBdr/>
      <w:spacing w:after="57"/>
      <w:ind w:left="567"/>
    </w:pPr>
  </w:style>
  <w:style w:type="paragraph" w:styleId="1122">
    <w:name w:val="toc 4"/>
    <w:basedOn w:val="955"/>
    <w:next w:val="955"/>
    <w:uiPriority w:val="39"/>
    <w:unhideWhenUsed/>
    <w:pPr>
      <w:pBdr/>
      <w:spacing w:after="57"/>
      <w:ind w:left="850"/>
    </w:pPr>
  </w:style>
  <w:style w:type="paragraph" w:styleId="1123">
    <w:name w:val="toc 5"/>
    <w:basedOn w:val="955"/>
    <w:next w:val="955"/>
    <w:uiPriority w:val="39"/>
    <w:unhideWhenUsed/>
    <w:pPr>
      <w:pBdr/>
      <w:spacing w:after="57"/>
      <w:ind w:left="1134"/>
    </w:pPr>
  </w:style>
  <w:style w:type="paragraph" w:styleId="1124">
    <w:name w:val="toc 6"/>
    <w:basedOn w:val="955"/>
    <w:next w:val="955"/>
    <w:uiPriority w:val="39"/>
    <w:unhideWhenUsed/>
    <w:pPr>
      <w:pBdr/>
      <w:spacing w:after="57"/>
      <w:ind w:left="1417"/>
    </w:pPr>
  </w:style>
  <w:style w:type="paragraph" w:styleId="1125">
    <w:name w:val="toc 7"/>
    <w:basedOn w:val="955"/>
    <w:next w:val="955"/>
    <w:uiPriority w:val="39"/>
    <w:unhideWhenUsed/>
    <w:pPr>
      <w:pBdr/>
      <w:spacing w:after="57"/>
      <w:ind w:left="1701"/>
    </w:pPr>
  </w:style>
  <w:style w:type="paragraph" w:styleId="1126">
    <w:name w:val="toc 8"/>
    <w:basedOn w:val="955"/>
    <w:next w:val="955"/>
    <w:uiPriority w:val="39"/>
    <w:unhideWhenUsed/>
    <w:pPr>
      <w:pBdr/>
      <w:spacing w:after="57"/>
      <w:ind w:left="1984"/>
    </w:pPr>
  </w:style>
  <w:style w:type="paragraph" w:styleId="1127">
    <w:name w:val="toc 9"/>
    <w:basedOn w:val="955"/>
    <w:next w:val="955"/>
    <w:uiPriority w:val="39"/>
    <w:unhideWhenUsed/>
    <w:pPr>
      <w:pBdr/>
      <w:spacing w:after="57"/>
      <w:ind w:left="2268"/>
    </w:pPr>
  </w:style>
  <w:style w:type="paragraph" w:styleId="1128">
    <w:name w:val="TOC Heading"/>
    <w:uiPriority w:val="39"/>
    <w:unhideWhenUsed/>
    <w:pPr>
      <w:pBdr/>
      <w:spacing/>
      <w:ind/>
    </w:pPr>
  </w:style>
  <w:style w:type="paragraph" w:styleId="1129">
    <w:name w:val="table of figures"/>
    <w:basedOn w:val="955"/>
    <w:next w:val="955"/>
    <w:uiPriority w:val="99"/>
    <w:unhideWhenUsed/>
    <w:pPr>
      <w:pBdr/>
      <w:spacing/>
      <w:ind/>
    </w:pPr>
  </w:style>
  <w:style w:type="paragraph" w:styleId="1130">
    <w:name w:val="List Paragraph"/>
    <w:basedOn w:val="955"/>
    <w:uiPriority w:val="34"/>
    <w:qFormat/>
    <w:pPr>
      <w:pBdr/>
      <w:spacing/>
      <w:ind w:left="720"/>
      <w:contextualSpacing w:val="true"/>
    </w:pPr>
  </w:style>
  <w:style w:type="character" w:styleId="1131">
    <w:name w:val="Hyperlink"/>
    <w:uiPriority w:val="99"/>
    <w:unhideWhenUsed/>
    <w:pPr>
      <w:pBdr/>
      <w:spacing/>
      <w:ind/>
    </w:pPr>
    <w:rPr>
      <w:color w:val="0000ff"/>
      <w:u w:val="single"/>
    </w:rPr>
  </w:style>
  <w:style w:type="character" w:styleId="1132" w:customStyle="1">
    <w:name w:val="apple-style-span"/>
    <w:basedOn w:val="965"/>
    <w:pPr>
      <w:pBdr/>
      <w:spacing/>
      <w:ind/>
    </w:pPr>
  </w:style>
  <w:style w:type="character" w:styleId="1133" w:customStyle="1">
    <w:name w:val="Heading 1 Char"/>
    <w:link w:val="956"/>
    <w:uiPriority w:val="9"/>
    <w:pPr>
      <w:pBdr/>
      <w:spacing/>
      <w:ind/>
    </w:pPr>
    <w:rPr>
      <w:rFonts w:eastAsia="Times New Roman" w:cs="Times New Roman"/>
      <w:b/>
      <w:bCs/>
      <w:color w:val="000000"/>
      <w:sz w:val="28"/>
      <w:szCs w:val="28"/>
      <w:lang w:val="ro-RO"/>
    </w:rPr>
  </w:style>
  <w:style w:type="paragraph" w:styleId="1134">
    <w:name w:val="Header"/>
    <w:basedOn w:val="955"/>
    <w:link w:val="1135"/>
    <w:uiPriority w:val="99"/>
    <w:unhideWhenUsed/>
    <w:pPr>
      <w:pBdr/>
      <w:tabs>
        <w:tab w:val="center" w:leader="none" w:pos="4680"/>
        <w:tab w:val="right" w:leader="none" w:pos="9360"/>
      </w:tabs>
      <w:spacing/>
      <w:ind/>
    </w:pPr>
  </w:style>
  <w:style w:type="character" w:styleId="1135" w:customStyle="1">
    <w:name w:val="Header Char"/>
    <w:link w:val="1134"/>
    <w:uiPriority w:val="99"/>
    <w:pPr>
      <w:pBdr/>
      <w:spacing/>
      <w:ind/>
    </w:pPr>
    <w:rPr>
      <w:rFonts w:ascii="Times New Roman" w:hAnsi="Times New Roman" w:eastAsia="Times New Roman" w:cs="Times New Roman"/>
      <w:sz w:val="20"/>
      <w:szCs w:val="20"/>
      <w:lang w:val="ro-RO"/>
    </w:rPr>
  </w:style>
  <w:style w:type="paragraph" w:styleId="1136">
    <w:name w:val="Footer"/>
    <w:basedOn w:val="955"/>
    <w:link w:val="1137"/>
    <w:uiPriority w:val="99"/>
    <w:unhideWhenUsed/>
    <w:pPr>
      <w:pBdr/>
      <w:tabs>
        <w:tab w:val="center" w:leader="none" w:pos="4680"/>
        <w:tab w:val="right" w:leader="none" w:pos="9360"/>
      </w:tabs>
      <w:spacing/>
      <w:ind/>
    </w:pPr>
  </w:style>
  <w:style w:type="character" w:styleId="1137" w:customStyle="1">
    <w:name w:val="Footer Char"/>
    <w:link w:val="1136"/>
    <w:uiPriority w:val="99"/>
    <w:pPr>
      <w:pBdr/>
      <w:spacing/>
      <w:ind/>
    </w:pPr>
    <w:rPr>
      <w:rFonts w:ascii="Times New Roman" w:hAnsi="Times New Roman" w:eastAsia="Times New Roman" w:cs="Times New Roman"/>
      <w:sz w:val="20"/>
      <w:szCs w:val="20"/>
      <w:lang w:val="ro-RO"/>
    </w:rPr>
  </w:style>
  <w:style w:type="paragraph" w:styleId="1138">
    <w:name w:val="Balloon Text"/>
    <w:basedOn w:val="955"/>
    <w:link w:val="1139"/>
    <w:uiPriority w:val="99"/>
    <w:semiHidden/>
    <w:unhideWhenUsed/>
    <w:pPr>
      <w:pBdr/>
      <w:spacing/>
      <w:ind/>
    </w:pPr>
    <w:rPr>
      <w:rFonts w:ascii="Tahoma" w:hAnsi="Tahoma" w:cs="Tahoma"/>
      <w:sz w:val="16"/>
      <w:szCs w:val="16"/>
    </w:rPr>
  </w:style>
  <w:style w:type="character" w:styleId="1139" w:customStyle="1">
    <w:name w:val="Balloon Text Char"/>
    <w:link w:val="1138"/>
    <w:uiPriority w:val="99"/>
    <w:semiHidden/>
    <w:pPr>
      <w:pBdr/>
      <w:spacing/>
      <w:ind/>
    </w:pPr>
    <w:rPr>
      <w:rFonts w:ascii="Tahoma" w:hAnsi="Tahoma" w:eastAsia="Times New Roman" w:cs="Tahoma"/>
      <w:sz w:val="16"/>
      <w:szCs w:val="16"/>
      <w:lang w:val="ro-RO"/>
    </w:rPr>
  </w:style>
  <w:style w:type="paragraph" w:styleId="1140" w:customStyle="1">
    <w:name w:val="Default"/>
    <w:pPr>
      <w:pBdr>
        <w:top w:val="none" w:color="000000" w:sz="4" w:space="0"/>
        <w:left w:val="none" w:color="000000" w:sz="4" w:space="0"/>
        <w:bottom w:val="none" w:color="000000" w:sz="4" w:space="0"/>
        <w:right w:val="none" w:color="000000" w:sz="4" w:space="0"/>
        <w:between w:val="none" w:color="000000" w:sz="4" w:space="0"/>
      </w:pBdr>
      <w:spacing/>
      <w:ind/>
    </w:pPr>
    <w:rPr>
      <w:rFonts w:ascii="Arial" w:hAnsi="Arial" w:eastAsia="Times New Roman" w:cs="Arial"/>
      <w:color w:val="000000"/>
      <w:sz w:val="24"/>
      <w:szCs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customXml" Target="../customXml/item1.xml" /><Relationship Id="rId16" Type="http://schemas.openxmlformats.org/officeDocument/2006/relationships/hyperlink" Target="https://obinfonet.ro/docs/nt-teofam/teofam-res/specific/Austin-Rethinking%20parenthood.pdf" TargetMode="External"/><Relationship Id="rId17" Type="http://schemas.openxmlformats.org/officeDocument/2006/relationships/hyperlink" Target="https://obinfonet.ro/docs/nt-teofam/teofam-res/specific/Chia-Religious%20education%20at%20home%20parents%20as%20disciple-makers%20to%20their%20youths.pdf" TargetMode="External"/><Relationship Id="rId18" Type="http://schemas.openxmlformats.org/officeDocument/2006/relationships/hyperlink" Target="https://obinfonet.ro/docs/nt-teofam/teofam-res/specific/The%20family%20in%20theological%20perspective%20(Barton,%20Stephen%20C).pdf" TargetMode="External"/><Relationship Id="rId19" Type="http://schemas.openxmlformats.org/officeDocument/2006/relationships/hyperlink" Target="https://obinfonet.ro/docs/nt-teofam/teofam-res/specific/The%20Spiritual%20Life%20of%20Children%20(Robert%20Coles).pdf" TargetMode="External"/><Relationship Id="rId20" Type="http://schemas.openxmlformats.org/officeDocument/2006/relationships/hyperlink" Target="https://obinfonet.ro/docs/nt-teofam/teofam-res/specific/Spiritual%20Conversations%20with%20Children%20(Lacy%20Finn%20Borgo).pdf" TargetMode="External"/><Relationship Id="rId21" Type="http://schemas.openxmlformats.org/officeDocument/2006/relationships/hyperlink" Target="https://obinfonet.ro/docs/nt-teofam/teofam-res/general/How%20the%20Bible%20Works%20An%20Anthropological%20Study%20of%20Evangelical%20Biblicism%20(Brian%20Malley).pdf" TargetMode="External"/><Relationship Id="rId22" Type="http://schemas.openxmlformats.org/officeDocument/2006/relationships/hyperlink" Target="https://obinfonet.ro/docs/nt-teofam/teofam-res/general/Biblical%20and%20Theological%20Foundations%20of%20the%20Family%20The%20Domestic%20Church%20(Joseph%20C.%20Atkinson).pdf" TargetMode="External"/><Relationship Id="rId23" Type="http://schemas.openxmlformats.org/officeDocument/2006/relationships/image" Target="media/image2.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office@itb.ro" TargetMode="External"/></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AECDA3-BEB7-4A0D-840A-C97DDDB82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revision>12</cp:revision>
  <dcterms:created xsi:type="dcterms:W3CDTF">2024-06-25T08:06:00Z</dcterms:created>
  <dcterms:modified xsi:type="dcterms:W3CDTF">2026-09-29T11:15:29Z</dcterms:modified>
</cp:coreProperties>
</file>