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widowControl w:val="false"/>
        <w:pBdr/>
        <w:spacing w:after="20" w:before="20"/>
        <w:ind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widowControl w:val="false"/>
        <w:pBdr/>
        <w:spacing w:after="20" w:before="20"/>
        <w:ind/>
        <w:jc w:val="center"/>
        <w:rPr>
          <w:b/>
          <w:bCs/>
        </w:rPr>
      </w:pPr>
      <w:r>
        <w:rPr>
          <w:b/>
          <w:sz w:val="48"/>
          <w:szCs w:val="48"/>
        </w:rPr>
        <w:t xml:space="preserve">FIŞA DISCIPLINEI </w:t>
      </w:r>
      <w:r>
        <w:rPr>
          <w:b/>
          <w:bCs/>
        </w:rPr>
      </w:r>
      <w:r>
        <w:rPr>
          <w:b/>
          <w:bCs/>
        </w:rPr>
      </w:r>
    </w:p>
    <w:p>
      <w:pPr>
        <w:widowControl w:val="false"/>
        <w:pBdr/>
        <w:spacing w:after="20" w:before="20"/>
        <w:ind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anul universitar 202</w:t>
      </w:r>
      <w:r>
        <w:rPr>
          <w:b/>
          <w:sz w:val="36"/>
          <w:szCs w:val="36"/>
        </w:rPr>
        <w:t xml:space="preserve">5 – 202</w:t>
      </w:r>
      <w:r>
        <w:rPr>
          <w:b/>
          <w:sz w:val="36"/>
          <w:szCs w:val="36"/>
        </w:rPr>
        <w:t xml:space="preserve">6</w:t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widowControl w:val="false"/>
        <w:pBdr/>
        <w:tabs>
          <w:tab w:val="left" w:leader="none" w:pos="3910"/>
          <w:tab w:val="center" w:leader="none" w:pos="4873"/>
        </w:tabs>
        <w:spacing w:after="20" w:before="20"/>
        <w:ind/>
        <w:rPr>
          <w:b/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</w:r>
      <w:r>
        <w:rPr>
          <w:b/>
          <w:lang w:val="en-US"/>
        </w:rPr>
      </w:r>
    </w:p>
    <w:p>
      <w:pPr>
        <w:widowControl w:val="false"/>
        <w:pBdr/>
        <w:spacing w:after="20" w:before="20"/>
        <w:ind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widowControl w:val="false"/>
        <w:numPr>
          <w:ilvl w:val="0"/>
          <w:numId w:val="10"/>
        </w:numPr>
        <w:pBdr/>
        <w:tabs>
          <w:tab w:val="clear" w:leader="none" w:pos="360"/>
          <w:tab w:val="center" w:leader="none" w:pos="4873"/>
        </w:tabs>
        <w:spacing w:after="20" w:before="20"/>
        <w:ind/>
        <w:rPr>
          <w:b/>
        </w:rPr>
      </w:pPr>
      <w:r>
        <w:rPr>
          <w:b/>
        </w:rPr>
        <w:t xml:space="preserve">Date despre program</w:t>
      </w:r>
      <w:r>
        <w:rPr>
          <w:b/>
        </w:rPr>
        <w:tab/>
      </w:r>
      <w:r>
        <w:rPr>
          <w:b/>
        </w:rPr>
      </w:r>
      <w:r>
        <w:rPr>
          <w:b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046"/>
        <w:gridCol w:w="5866"/>
      </w:tblGrid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1.1. </w:t>
            </w:r>
            <w:r>
              <w:t xml:space="preserve">Instituţia</w:t>
            </w:r>
            <w:r>
              <w:t xml:space="preserve"> de </w:t>
            </w:r>
            <w:r>
              <w:t xml:space="preserve">învăţămînt</w:t>
            </w:r>
            <w:r/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INSTITUTUL TEOLOGIC BAPTIST</w:t>
            </w:r>
            <w:r>
              <w:rPr>
                <w:b/>
                <w:lang w:val="en-US"/>
              </w:rPr>
              <w:t xml:space="preserve"> DIN</w:t>
            </w:r>
            <w:r>
              <w:rPr>
                <w:b/>
                <w:lang w:val="en-US"/>
              </w:rPr>
              <w:t xml:space="preserve"> BUCUREŞTI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1.2. Facultatea </w:t>
            </w:r>
            <w:r/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Facultatea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 xml:space="preserve">de Teolog</w:t>
            </w:r>
            <w:r>
              <w:rPr>
                <w:b/>
                <w:lang w:val="en-US"/>
              </w:rPr>
              <w:t xml:space="preserve">ie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Pastorală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1.3. Departamentul </w:t>
            </w:r>
            <w:r/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</w:rPr>
              <w:t xml:space="preserve">Teologie </w:t>
            </w:r>
            <w:r>
              <w:rPr>
                <w:b/>
                <w:lang w:val="en-US"/>
              </w:rPr>
              <w:t xml:space="preserve">Baptistă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Pastorală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1.4. Domeniul de studii</w:t>
            </w:r>
            <w:r/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</w:rPr>
              <w:t xml:space="preserve">Teologie </w:t>
            </w:r>
            <w:r>
              <w:rPr>
                <w:b/>
                <w:lang w:val="en-US"/>
              </w:rPr>
              <w:t xml:space="preserve">Baptistă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pastorală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1.5. Ciclul de studii</w:t>
            </w:r>
            <w:r/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i/>
                <w:lang w:val="en-US"/>
              </w:rPr>
            </w:pPr>
            <w:r>
              <w:rPr>
                <w:b/>
              </w:rPr>
              <w:t xml:space="preserve">Masterat</w:t>
            </w:r>
            <w:r>
              <w:rPr>
                <w:b/>
                <w:lang w:val="en-US"/>
              </w:rPr>
              <w:t xml:space="preserve"> </w:t>
            </w:r>
            <w:r>
              <w:rPr>
                <w:rFonts w:eastAsia="Albertus Medium"/>
                <w:b/>
                <w:color w:val="0a0a0a"/>
                <w:sz w:val="22"/>
                <w:szCs w:val="22"/>
                <w:lang w:val="en-US" w:eastAsia="zh-CN" w:bidi="ar"/>
              </w:rPr>
              <w:t xml:space="preserve">(ISCED level 7 – EQF level 7)</w:t>
            </w:r>
            <w:r>
              <w:rPr>
                <w:b/>
                <w:i/>
                <w:lang w:val="en-US"/>
              </w:rPr>
            </w:r>
            <w:r>
              <w:rPr>
                <w:b/>
                <w:i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1.6. Programul de studii</w:t>
            </w:r>
            <w:r/>
          </w:p>
        </w:tc>
        <w:tc>
          <w:tcPr>
            <w:shd w:val="clear" w:color="ffffff" w:fill="d9d9d9"/>
            <w:tcBorders/>
            <w:tcW w:w="2959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Masterat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Teologie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Aplicată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: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lucrarea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cu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tinerii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eastAsia="Liberation Sans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ș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i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familiile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</w:tbl>
    <w:p>
      <w:pPr>
        <w:widowControl w:val="false"/>
        <w:pBdr/>
        <w:spacing w:after="20" w:before="20"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widowControl w:val="false"/>
        <w:numPr>
          <w:ilvl w:val="0"/>
          <w:numId w:val="10"/>
        </w:numPr>
        <w:pBdr/>
        <w:spacing w:after="20" w:before="20"/>
        <w:ind/>
        <w:rPr>
          <w:b/>
        </w:rPr>
      </w:pPr>
      <w:r>
        <w:rPr>
          <w:b/>
        </w:rPr>
        <w:t xml:space="preserve">Date despre disciplină</w:t>
      </w:r>
      <w:r>
        <w:rPr>
          <w:b/>
        </w:rPr>
      </w:r>
      <w:r>
        <w:rPr>
          <w:b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859"/>
        <w:gridCol w:w="524"/>
        <w:gridCol w:w="215"/>
        <w:gridCol w:w="1459"/>
        <w:gridCol w:w="786"/>
        <w:gridCol w:w="1649"/>
        <w:gridCol w:w="125"/>
        <w:gridCol w:w="601"/>
        <w:gridCol w:w="1221"/>
        <w:gridCol w:w="206"/>
        <w:gridCol w:w="1277"/>
      </w:tblGrid>
      <w:tr>
        <w:trPr/>
        <w:tc>
          <w:tcPr>
            <w:gridSpan w:val="3"/>
            <w:shd w:val="clear" w:color="ffffff" w:fill="ffffff"/>
            <w:tcBorders/>
            <w:tcW w:w="2598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2.1. Denumirea disciplinei</w:t>
            </w:r>
            <w:r/>
          </w:p>
        </w:tc>
        <w:tc>
          <w:tcPr>
            <w:gridSpan w:val="3"/>
            <w:shd w:val="clear" w:color="ffffff" w:fill="d9d9d9"/>
            <w:tcBorders/>
            <w:tcW w:w="3894" w:type="dxa"/>
            <w:textDirection w:val="lrTb"/>
            <w:noWrap w:val="false"/>
          </w:tcPr>
          <w:p>
            <w:pPr>
              <w:pStyle w:val="1135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 w:bidi="he-IL"/>
              </w:rPr>
              <w:t xml:space="preserve">Familia in teologia creștină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</w:r>
          </w:p>
        </w:tc>
        <w:tc>
          <w:tcPr>
            <w:gridSpan w:val="3"/>
            <w:shd w:val="clear" w:color="ffffff" w:fill="ffffff"/>
            <w:tcBorders/>
            <w:tcW w:w="194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2.2. Cod disciplină</w:t>
            </w:r>
            <w:r/>
          </w:p>
        </w:tc>
        <w:tc>
          <w:tcPr>
            <w:gridSpan w:val="2"/>
            <w:shd w:val="clear" w:color="ffffff" w:fill="d9d9d9"/>
            <w:tcBorders/>
            <w:tcW w:w="1483" w:type="dxa"/>
            <w:textDirection w:val="lrTb"/>
            <w:noWrap w:val="false"/>
          </w:tcPr>
          <w:p>
            <w:pPr>
              <w:pStyle w:val="1135"/>
              <w:pBdr/>
              <w:spacing/>
              <w:ind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 w:eastAsia="ro-RO"/>
              </w:rPr>
              <w:t xml:space="preserve">M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  <w:t xml:space="preserve">FT0201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r>
          </w:p>
          <w:p>
            <w:pPr>
              <w:pStyle w:val="1135"/>
              <w:pBdr/>
              <w:spacing/>
              <w:ind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  <w:t xml:space="preserve">M+cod+an+s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r>
          </w:p>
        </w:tc>
      </w:tr>
      <w:tr>
        <w:trPr/>
        <w:tc>
          <w:tcPr>
            <w:gridSpan w:val="4"/>
            <w:shd w:val="clear" w:color="ffffff" w:fill="ffffff"/>
            <w:tcBorders/>
            <w:tcW w:w="4056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2.3. Titularul de curs</w:t>
            </w:r>
            <w:r/>
          </w:p>
        </w:tc>
        <w:tc>
          <w:tcPr>
            <w:gridSpan w:val="7"/>
            <w:shd w:val="clear" w:color="ffffff" w:fill="ffffff"/>
            <w:tcBorders/>
            <w:tcW w:w="5865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 xml:space="preserve">C</w:t>
            </w:r>
            <w:r>
              <w:rPr>
                <w:b/>
              </w:rPr>
              <w:t xml:space="preserve">onf</w:t>
            </w:r>
            <w:r>
              <w:rPr>
                <w:b/>
              </w:rPr>
              <w:t xml:space="preserve">. dr. Rusu Timotei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gridSpan w:val="4"/>
            <w:shd w:val="clear" w:color="ffffff" w:fill="ffffff"/>
            <w:tcBorders/>
            <w:tcW w:w="4056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2.4. Titularul de seminar</w:t>
            </w:r>
            <w:r/>
          </w:p>
        </w:tc>
        <w:tc>
          <w:tcPr>
            <w:gridSpan w:val="7"/>
            <w:shd w:val="clear" w:color="ffffff" w:fill="ffffff"/>
            <w:tcBorders/>
            <w:tcW w:w="5865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 xml:space="preserve">Conf. dr. </w:t>
            </w:r>
            <w:r>
              <w:rPr>
                <w:b/>
                <w:lang w:val="ro-RO"/>
              </w:rPr>
              <w:t xml:space="preserve">Rusu Timotei</w:t>
            </w:r>
            <w:r>
              <w:rPr>
                <w:b/>
                <w:lang w:val="en-US"/>
              </w:rPr>
            </w:r>
            <w:r/>
          </w:p>
        </w:tc>
      </w:tr>
      <w:tr>
        <w:trPr/>
        <w:tc>
          <w:tcPr>
            <w:shd w:val="clear" w:color="ffffff" w:fill="ffffff"/>
            <w:tcBorders/>
            <w:tcW w:w="1859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2.5. Anul de studiu</w:t>
            </w:r>
            <w:r/>
          </w:p>
        </w:tc>
        <w:tc>
          <w:tcPr>
            <w:shd w:val="clear" w:color="ffffff" w:fill="d9d9d9"/>
            <w:tcBorders/>
            <w:tcW w:w="524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I</w:t>
            </w:r>
            <w:r>
              <w:rPr>
                <w:b/>
                <w:lang w:val="ro-RO"/>
              </w:rPr>
              <w:t xml:space="preserve">I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1673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2.6. Semestrul</w:t>
            </w:r>
            <w:r/>
          </w:p>
        </w:tc>
        <w:tc>
          <w:tcPr>
            <w:shd w:val="clear" w:color="ffffff" w:fill="d9d9d9"/>
            <w:tcBorders/>
            <w:tcW w:w="786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1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1774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 w:right="-107"/>
              <w:rPr/>
            </w:pPr>
            <w:r>
              <w:t xml:space="preserve">2.7. Tipul de evaluare (E/C/VP)</w:t>
            </w:r>
            <w:r/>
          </w:p>
        </w:tc>
        <w:tc>
          <w:tcPr>
            <w:shd w:val="clear" w:color="ffffff" w:fill="d9d9d9"/>
            <w:tcBorders/>
            <w:tcW w:w="601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  <w:lang w:val="en-US"/>
              </w:rPr>
              <w:t xml:space="preserve">E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shd w:val="clear" w:color="ffffff" w:fill="ffffff"/>
            <w:tcBorders/>
            <w:tcW w:w="142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 w:right="-108"/>
              <w:rPr/>
            </w:pPr>
            <w:r>
              <w:t xml:space="preserve">2.8. Regimul disciplinei </w:t>
            </w:r>
            <w:r/>
          </w:p>
        </w:tc>
        <w:tc>
          <w:tcPr>
            <w:shd w:val="clear" w:color="ffffff" w:fill="d9d9d9"/>
            <w:tcBorders/>
            <w:tcW w:w="127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  <w:lang w:val="ro-RO"/>
              </w:rPr>
              <w:t xml:space="preserve">OB-DT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widowControl w:val="false"/>
        <w:pBdr/>
        <w:spacing w:after="20" w:before="20"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widowControl w:val="false"/>
        <w:numPr>
          <w:ilvl w:val="0"/>
          <w:numId w:val="10"/>
        </w:numPr>
        <w:pBdr/>
        <w:spacing w:after="20" w:before="20"/>
        <w:ind/>
        <w:rPr>
          <w:b/>
        </w:rPr>
      </w:pPr>
      <w:r>
        <w:rPr>
          <w:b/>
        </w:rPr>
        <w:t xml:space="preserve">Timpul total estimat</w:t>
      </w:r>
      <w:r>
        <w:rPr>
          <w:b/>
        </w:rPr>
      </w:r>
      <w:r>
        <w:rPr>
          <w:b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163"/>
        <w:gridCol w:w="1092"/>
        <w:gridCol w:w="955"/>
        <w:gridCol w:w="1114"/>
        <w:gridCol w:w="983"/>
        <w:gridCol w:w="1164"/>
        <w:gridCol w:w="1228"/>
        <w:gridCol w:w="1222"/>
      </w:tblGrid>
      <w:tr>
        <w:trPr/>
        <w:tc>
          <w:tcPr>
            <w:shd w:val="clear" w:color="ffffff" w:fill="ffffff"/>
            <w:tcBorders>
              <w:bottom w:val="single" w:color="000000" w:sz="4" w:space="0"/>
            </w:tcBorders>
            <w:tcW w:w="2163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3.1. </w:t>
            </w:r>
            <w:r>
              <w:t xml:space="preserve">Numar</w:t>
            </w:r>
            <w:r>
              <w:t xml:space="preserve"> ore pe </w:t>
            </w:r>
            <w:r>
              <w:t xml:space="preserve">saptamana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092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3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2069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din care: 3.2. curs</w:t>
            </w:r>
            <w:r/>
          </w:p>
        </w:tc>
        <w:tc>
          <w:tcPr>
            <w:shd w:val="clear" w:color="ffffff" w:fill="d9d9d9"/>
            <w:tcBorders>
              <w:bottom w:val="single" w:color="000000" w:sz="4" w:space="0"/>
            </w:tcBorders>
            <w:tcW w:w="983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2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2392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3.3. seminar/laborator</w:t>
            </w:r>
            <w:r/>
          </w:p>
        </w:tc>
        <w:tc>
          <w:tcPr>
            <w:shd w:val="clear" w:color="ffffff" w:fill="d9d9d9"/>
            <w:tcBorders>
              <w:bottom w:val="single" w:color="000000" w:sz="4" w:space="0"/>
            </w:tcBorders>
            <w:tcW w:w="1222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</w:rPr>
              <w:t xml:space="preserve">1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shd w:val="clear" w:color="ffffff" w:fill="ffffff"/>
            <w:tcBorders/>
            <w:tcW w:w="2163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3.4. Total ore din planul de </w:t>
            </w:r>
            <w:r>
              <w:t xml:space="preserve">învăţămînt</w:t>
            </w:r>
            <w:r/>
          </w:p>
        </w:tc>
        <w:tc>
          <w:tcPr>
            <w:shd w:val="clear" w:color="ffffff" w:fill="ffffff"/>
            <w:tcBorders/>
            <w:tcW w:w="1092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42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2069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din care: 3.5. curs</w:t>
            </w:r>
            <w:r/>
          </w:p>
        </w:tc>
        <w:tc>
          <w:tcPr>
            <w:shd w:val="clear" w:color="ffffff" w:fill="ffffff"/>
            <w:tcBorders/>
            <w:tcW w:w="983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28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2392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3.6. seminar/laborator</w:t>
            </w:r>
            <w:r/>
          </w:p>
        </w:tc>
        <w:tc>
          <w:tcPr>
            <w:shd w:val="clear" w:color="ffffff" w:fill="ffffff"/>
            <w:tcBorders/>
            <w:tcW w:w="1222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</w:rPr>
              <w:t xml:space="preserve">14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8700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Distribuţia</w:t>
            </w:r>
            <w:r>
              <w:t xml:space="preserve"> fondului de timp de studiu individual</w:t>
            </w:r>
            <w:r/>
          </w:p>
        </w:tc>
        <w:tc>
          <w:tcPr>
            <w:shd w:val="clear" w:color="ffffff" w:fill="ffffff"/>
            <w:tcBorders/>
            <w:tcW w:w="1222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ore</w:t>
            </w:r>
            <w:r/>
          </w:p>
        </w:tc>
      </w:tr>
      <w:tr>
        <w:trPr/>
        <w:tc>
          <w:tcPr>
            <w:gridSpan w:val="7"/>
            <w:shd w:val="clear" w:color="ffffff" w:fill="ffffff"/>
            <w:tcBorders/>
            <w:tcW w:w="8700" w:type="dxa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/>
            </w:pPr>
            <w:r>
              <w:t xml:space="preserve">Studiul tematic după manual, suport de curs, bibliografie </w:t>
            </w:r>
            <w:r>
              <w:t xml:space="preserve">şi</w:t>
            </w:r>
            <w:r>
              <w:t xml:space="preserve"> </w:t>
            </w:r>
            <w:r>
              <w:t xml:space="preserve">notiţe</w:t>
            </w:r>
            <w:r/>
          </w:p>
        </w:tc>
        <w:tc>
          <w:tcPr>
            <w:shd w:val="clear" w:color="ffffff" w:fill="ffffff"/>
            <w:tcBorders/>
            <w:tcW w:w="1222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51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8700" w:type="dxa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/>
            </w:pPr>
            <w:r>
              <w:t xml:space="preserve">Documentare suplimentară</w:t>
            </w:r>
            <w:r/>
          </w:p>
        </w:tc>
        <w:tc>
          <w:tcPr>
            <w:shd w:val="clear" w:color="ffffff" w:fill="ffffff"/>
            <w:tcBorders/>
            <w:tcW w:w="1222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3</w:t>
            </w: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8700" w:type="dxa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/>
            </w:pPr>
            <w:r>
              <w:t xml:space="preserve">Studiu aplicativ </w:t>
            </w:r>
            <w:r>
              <w:t xml:space="preserve">seminarii</w:t>
            </w:r>
            <w:r>
              <w:t xml:space="preserve">/laboratoare, teme, referate, portofolii</w:t>
            </w:r>
            <w:r/>
          </w:p>
        </w:tc>
        <w:tc>
          <w:tcPr>
            <w:shd w:val="clear" w:color="ffffff" w:fill="ffffff"/>
            <w:tcBorders/>
            <w:tcW w:w="1222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27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8700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Total ore  </w:t>
            </w:r>
            <w:r>
              <w:t xml:space="preserve">activităţi</w:t>
            </w:r>
            <w:r>
              <w:t xml:space="preserve"> individuale</w:t>
            </w:r>
            <w:r/>
          </w:p>
        </w:tc>
        <w:tc>
          <w:tcPr>
            <w:shd w:val="clear" w:color="ffffff" w:fill="ffffff"/>
            <w:tcBorders/>
            <w:tcW w:w="1222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</w:rPr>
              <w:t xml:space="preserve">1</w:t>
            </w:r>
            <w:r>
              <w:rPr>
                <w:b/>
                <w:lang w:val="ro-RO"/>
              </w:rPr>
              <w:t xml:space="preserve">08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>
          <w:gridAfter w:val="2"/>
        </w:trPr>
        <w:tc>
          <w:tcPr>
            <w:gridSpan w:val="3"/>
            <w:shd w:val="clear" w:color="ffffff" w:fill="ffffff"/>
            <w:tcBorders/>
            <w:tcW w:w="4211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3.7 Total ore studiu individual</w:t>
            </w:r>
            <w:r/>
          </w:p>
        </w:tc>
        <w:tc>
          <w:tcPr>
            <w:gridSpan w:val="3"/>
            <w:shd w:val="clear" w:color="ffffff" w:fill="ffffff"/>
            <w:tcBorders/>
            <w:tcW w:w="3261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t xml:space="preserve">1</w:t>
            </w:r>
            <w:r>
              <w:rPr>
                <w:lang w:val="ro-RO"/>
              </w:rPr>
              <w:t xml:space="preserve">08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gridAfter w:val="2"/>
        </w:trPr>
        <w:tc>
          <w:tcPr>
            <w:gridSpan w:val="3"/>
            <w:shd w:val="clear" w:color="ffffff" w:fill="ffffff"/>
            <w:tcBorders/>
            <w:tcW w:w="4211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3.8 Total ore din planul de </w:t>
            </w:r>
            <w:r>
              <w:t xml:space="preserve">învăţământ</w:t>
            </w:r>
            <w:r/>
          </w:p>
        </w:tc>
        <w:tc>
          <w:tcPr>
            <w:gridSpan w:val="3"/>
            <w:shd w:val="clear" w:color="ffffff" w:fill="ffffff"/>
            <w:tcBorders/>
            <w:tcW w:w="3261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42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gridAfter w:val="2"/>
        </w:trPr>
        <w:tc>
          <w:tcPr>
            <w:gridSpan w:val="3"/>
            <w:shd w:val="clear" w:color="ffffff" w:fill="ffffff"/>
            <w:tcBorders/>
            <w:tcW w:w="4211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3.9 Total ore pe semestru</w:t>
            </w:r>
            <w:r/>
          </w:p>
        </w:tc>
        <w:tc>
          <w:tcPr>
            <w:gridSpan w:val="3"/>
            <w:shd w:val="clear" w:color="ffffff" w:fill="ffffff"/>
            <w:tcBorders/>
            <w:tcW w:w="3261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</w:rPr>
              <w:t xml:space="preserve">150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>
          <w:gridAfter w:val="2"/>
          <w:trHeight w:val="95"/>
        </w:trPr>
        <w:tc>
          <w:tcPr>
            <w:gridSpan w:val="3"/>
            <w:shd w:val="clear" w:color="ffffff" w:fill="ffffff"/>
            <w:tcBorders/>
            <w:tcW w:w="4211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3.10 Numărul de credite</w:t>
            </w:r>
            <w:r/>
          </w:p>
        </w:tc>
        <w:tc>
          <w:tcPr>
            <w:gridSpan w:val="3"/>
            <w:shd w:val="clear" w:color="ffffff" w:fill="f2f2f2"/>
            <w:tcBorders/>
            <w:tcW w:w="3261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</w:rPr>
              <w:t xml:space="preserve">6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widowControl w:val="false"/>
        <w:pBdr/>
        <w:spacing/>
        <w:ind/>
        <w:rPr/>
      </w:pPr>
      <w:r>
        <w:rPr>
          <w:highlight w:val="none"/>
        </w:rPr>
      </w:r>
      <w:r>
        <w:rPr>
          <w:highlight w:val="none"/>
        </w:rPr>
      </w:r>
      <w:r/>
    </w:p>
    <w:p>
      <w:pPr>
        <w:widowControl w:val="false"/>
        <w:pBdr/>
        <w:spacing/>
        <w:ind/>
        <w:rPr>
          <w:highlight w:val="none"/>
        </w:rPr>
      </w:pPr>
      <w:r>
        <w:rPr>
          <w:b/>
        </w:rPr>
        <w:t xml:space="preserve">4.  </w:t>
      </w:r>
      <w:r>
        <w:rPr>
          <w:b/>
        </w:rPr>
        <w:t xml:space="preserve">Condiţii</w:t>
      </w:r>
      <w:r>
        <w:t xml:space="preserve"> (acolo unde este cazul)</w:t>
      </w:r>
      <w:r>
        <w:rPr>
          <w:highlight w:val="none"/>
        </w:rPr>
      </w:r>
      <w:r>
        <w:rPr>
          <w:highlight w:val="none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300"/>
        <w:gridCol w:w="5612"/>
      </w:tblGrid>
      <w:tr>
        <w:trPr/>
        <w:tc>
          <w:tcPr>
            <w:shd w:val="clear" w:color="ffffff" w:fill="ffffff"/>
            <w:tcBorders/>
            <w:tcW w:w="2169" w:type="pc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/>
            </w:pPr>
            <w:r>
              <w:t xml:space="preserve">4.1. De </w:t>
            </w:r>
            <w:r>
              <w:t xml:space="preserve">desfăşurare</w:t>
            </w:r>
            <w:r>
              <w:t xml:space="preserve"> a cursului</w:t>
            </w:r>
            <w:r/>
          </w:p>
        </w:tc>
        <w:tc>
          <w:tcPr>
            <w:shd w:val="clear" w:color="ffffff" w:fill="ffffff"/>
            <w:tcBorders/>
            <w:tcW w:w="2831" w:type="pc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Sală dotată cu tablă, videoproiector, laptop.</w:t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  <w:tr>
        <w:trPr/>
        <w:tc>
          <w:tcPr>
            <w:shd w:val="clear" w:color="ffffff" w:fill="ffffff"/>
            <w:tcBorders/>
            <w:tcW w:w="2169" w:type="pc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/>
            </w:pPr>
            <w:r>
              <w:t xml:space="preserve">4.2. De </w:t>
            </w:r>
            <w:r>
              <w:t xml:space="preserve">desfăşurarea</w:t>
            </w:r>
            <w:r>
              <w:t xml:space="preserve"> a seminarului/laboratorului</w:t>
            </w:r>
            <w:r/>
          </w:p>
        </w:tc>
        <w:tc>
          <w:tcPr>
            <w:shd w:val="clear" w:color="ffffff" w:fill="ffffff"/>
            <w:tcBorders/>
            <w:tcW w:w="2831" w:type="pc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Sală dotată cu tablă, videoproiector, laptop.</w:t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</w:tbl>
    <w:p>
      <w:pPr>
        <w:pBdr/>
        <w:spacing/>
        <w:ind w:firstLine="709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>
      <w:pPr>
        <w:pBdr/>
        <w:spacing/>
        <w:ind/>
        <w:rPr>
          <w:rFonts w:ascii="Gentium" w:hAnsi="Gentium"/>
          <w:b/>
          <w:sz w:val="22"/>
          <w:szCs w:val="22"/>
        </w:rPr>
      </w:pPr>
      <w:r>
        <w:rPr>
          <w:rFonts w:ascii="Gentium" w:hAnsi="Gentium"/>
          <w:b/>
          <w:sz w:val="22"/>
          <w:szCs w:val="22"/>
        </w:rPr>
        <w:t xml:space="preserve">5. Competenţele specifice acumulate</w:t>
      </w:r>
      <w:r>
        <w:rPr>
          <w:rFonts w:ascii="Gentium" w:hAnsi="Gentium"/>
          <w:b/>
          <w:sz w:val="22"/>
          <w:szCs w:val="22"/>
        </w:rPr>
      </w:r>
      <w:r>
        <w:rPr>
          <w:rFonts w:ascii="Gentium" w:hAnsi="Gentium"/>
          <w:b/>
          <w:sz w:val="22"/>
          <w:szCs w:val="22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9004"/>
      </w:tblGrid>
      <w:tr>
        <w:trPr>
          <w:cantSplit/>
          <w:trHeight w:val="1165"/>
        </w:trPr>
        <w:tc>
          <w:tcPr>
            <w:shd w:val="clear" w:color="ffffff" w:fill="ffffff"/>
            <w:tcBorders/>
            <w:tcW w:w="958" w:type="dxa"/>
            <w:vAlign w:val="center"/>
            <w:textDirection w:val="btLr"/>
            <w:noWrap w:val="false"/>
          </w:tcPr>
          <w:p>
            <w:pPr>
              <w:pBdr/>
              <w:spacing/>
              <w:ind/>
              <w:jc w:val="center"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 xml:space="preserve">Competenţe  ESCO</w:t>
            </w:r>
            <w:r>
              <w:rPr>
                <w:rFonts w:ascii="Gentium" w:hAnsi="Gentium"/>
                <w:b/>
                <w:sz w:val="22"/>
                <w:szCs w:val="22"/>
              </w:rPr>
            </w:r>
            <w:r>
              <w:rPr>
                <w:rFonts w:ascii="Gentium" w:hAnsi="Gentium"/>
                <w:b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9004" w:type="dxa"/>
            <w:textDirection w:val="lrTb"/>
            <w:noWrap w:val="false"/>
          </w:tcPr>
          <w:p>
            <w:pPr>
              <w:widowControl w:val="false"/>
              <w:pBdr/>
              <w:spacing/>
              <w:ind w:left="567"/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  <w:t xml:space="preserve">C2. Interpretează textele religioase</w:t>
            </w: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r>
          </w:p>
          <w:p>
            <w:pPr>
              <w:widowControl w:val="false"/>
              <w:pBdr/>
              <w:spacing/>
              <w:ind w:left="567"/>
              <w:rPr>
                <w:rFonts w:ascii="Cambria" w:hAnsi="Cambria"/>
                <w:color w:val="000000"/>
                <w:sz w:val="20"/>
                <w:szCs w:val="20"/>
                <w:highlight w:val="none"/>
                <w:lang w:val="ro-RO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  <w:t xml:space="preserve">C3. Predă texte religioase</w:t>
            </w:r>
            <w:r>
              <w:rPr>
                <w:rFonts w:ascii="Cambria" w:hAnsi="Cambria"/>
                <w:color w:val="000000"/>
                <w:sz w:val="20"/>
                <w:szCs w:val="20"/>
                <w:highlight w:val="none"/>
                <w:lang w:val="ro-RO"/>
              </w:rPr>
            </w:r>
            <w:r>
              <w:rPr>
                <w:rFonts w:ascii="Cambria" w:hAnsi="Cambria"/>
                <w:color w:val="000000"/>
                <w:sz w:val="20"/>
                <w:szCs w:val="20"/>
                <w:highlight w:val="none"/>
                <w:lang w:val="ro-RO"/>
              </w:rPr>
            </w:r>
          </w:p>
          <w:p>
            <w:pPr>
              <w:widowControl w:val="false"/>
              <w:pBdr/>
              <w:spacing/>
              <w:ind w:left="567"/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highlight w:val="none"/>
                <w:lang w:val="ro-RO"/>
              </w:rPr>
            </w: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r>
          </w:p>
        </w:tc>
      </w:tr>
    </w:tbl>
    <w:p>
      <w:pPr>
        <w:pBdr/>
        <w:spacing/>
        <w:ind w:firstLine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>
      <w:pPr>
        <w:pBdr/>
        <w:spacing/>
        <w:ind w:firstLine="709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>
      <w:pPr>
        <w:pBdr/>
        <w:spacing/>
        <w:ind/>
        <w:rPr>
          <w:sz w:val="22"/>
          <w:szCs w:val="22"/>
        </w:rPr>
      </w:pPr>
      <w:r>
        <w:rPr>
          <w:b/>
          <w:sz w:val="22"/>
          <w:szCs w:val="22"/>
        </w:rPr>
        <w:t xml:space="preserve">6. Obiectivele disciplinei</w:t>
      </w:r>
      <w:r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reieşind</w:t>
      </w:r>
      <w:r>
        <w:rPr>
          <w:sz w:val="22"/>
          <w:szCs w:val="22"/>
        </w:rPr>
        <w:t xml:space="preserve"> din grila </w:t>
      </w:r>
      <w:r>
        <w:rPr>
          <w:sz w:val="22"/>
          <w:szCs w:val="22"/>
        </w:rPr>
        <w:t xml:space="preserve">competenţelor</w:t>
      </w:r>
      <w:r>
        <w:rPr>
          <w:sz w:val="22"/>
          <w:szCs w:val="22"/>
        </w:rPr>
        <w:t xml:space="preserve"> specifice acumulate)</w:t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pPr w:horzAnchor="margin" w:tblpXSpec="left" w:vertAnchor="text" w:tblpY="104" w:leftFromText="180" w:topFromText="0" w:rightFromText="180" w:bottomFromText="0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821"/>
        <w:gridCol w:w="7091"/>
      </w:tblGrid>
      <w:tr>
        <w:trPr/>
        <w:tc>
          <w:tcPr>
            <w:shd w:val="clear" w:color="ffffff" w:fill="ffffff"/>
            <w:tcBorders/>
            <w:tcW w:w="2832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 Obiectivul general al disciplinei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7130" w:type="dxa"/>
            <w:textDirection w:val="lrTb"/>
            <w:noWrap w:val="false"/>
          </w:tcPr>
          <w:p>
            <w:pPr>
              <w:pBdr/>
              <w:tabs>
                <w:tab w:val="center" w:leader="none" w:pos="3457"/>
              </w:tabs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Dezvoltarea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unei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bune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înţelegeri</w:t>
            </w:r>
            <w:r>
              <w:rPr>
                <w:sz w:val="22"/>
                <w:szCs w:val="22"/>
                <w:lang w:val="en-US"/>
              </w:rPr>
              <w:t xml:space="preserve"> a </w:t>
            </w:r>
            <w:r>
              <w:rPr>
                <w:sz w:val="22"/>
                <w:szCs w:val="22"/>
                <w:lang w:val="en-US"/>
              </w:rPr>
              <w:t xml:space="preserve">conţinutului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şi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relevanţei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culturale</w:t>
            </w:r>
            <w:r>
              <w:rPr>
                <w:sz w:val="22"/>
                <w:szCs w:val="22"/>
                <w:lang w:val="en-US"/>
              </w:rPr>
              <w:t xml:space="preserve"> a </w:t>
            </w:r>
            <w:r>
              <w:rPr>
                <w:sz w:val="22"/>
                <w:szCs w:val="22"/>
                <w:lang w:val="en-US"/>
              </w:rPr>
              <w:t xml:space="preserve">Noului</w:t>
            </w:r>
            <w:r>
              <w:rPr>
                <w:sz w:val="22"/>
                <w:szCs w:val="22"/>
                <w:lang w:val="en-US"/>
              </w:rPr>
              <w:t xml:space="preserve"> Testament.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831"/>
        </w:trPr>
        <w:tc>
          <w:tcPr>
            <w:shd w:val="clear" w:color="ffffff" w:fill="ffffff"/>
            <w:tcBorders/>
            <w:tcW w:w="2832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6.2 Obiectivele specifice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7130" w:type="dxa"/>
            <w:textDirection w:val="lrTb"/>
            <w:noWrap w:val="false"/>
          </w:tcPr>
          <w:p>
            <w:pPr>
              <w:pBdr/>
              <w:tabs>
                <w:tab w:val="left" w:leader="none" w:pos="4865"/>
              </w:tabs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Dezvoltarea </w:t>
            </w:r>
            <w:r>
              <w:rPr>
                <w:sz w:val="22"/>
                <w:szCs w:val="22"/>
                <w:lang w:val="en-US"/>
              </w:rPr>
              <w:t xml:space="preserve">capacităţii</w:t>
            </w:r>
            <w:r>
              <w:rPr>
                <w:sz w:val="22"/>
                <w:szCs w:val="22"/>
                <w:lang w:val="en-US"/>
              </w:rPr>
              <w:t xml:space="preserve"> de a formula </w:t>
            </w:r>
            <w:r>
              <w:rPr>
                <w:sz w:val="22"/>
                <w:szCs w:val="22"/>
                <w:lang w:val="en-US"/>
              </w:rPr>
              <w:t xml:space="preserve">şi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aplica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forme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adaptate</w:t>
            </w:r>
            <w:r>
              <w:rPr>
                <w:sz w:val="22"/>
                <w:szCs w:val="22"/>
                <w:lang w:val="en-US"/>
              </w:rPr>
              <w:t xml:space="preserve"> cultural ale </w:t>
            </w:r>
            <w:r>
              <w:rPr>
                <w:sz w:val="22"/>
                <w:szCs w:val="22"/>
                <w:lang w:val="en-US"/>
              </w:rPr>
              <w:t xml:space="preserve">fundamentelor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teologice</w:t>
            </w:r>
            <w:r>
              <w:rPr>
                <w:sz w:val="22"/>
                <w:szCs w:val="22"/>
                <w:lang w:val="en-US"/>
              </w:rPr>
              <w:t xml:space="preserve"> ale </w:t>
            </w:r>
            <w:r>
              <w:rPr>
                <w:sz w:val="22"/>
                <w:szCs w:val="22"/>
                <w:lang w:val="en-US"/>
              </w:rPr>
              <w:t xml:space="preserve">Noului</w:t>
            </w:r>
            <w:r>
              <w:rPr>
                <w:sz w:val="22"/>
                <w:szCs w:val="22"/>
                <w:lang w:val="en-US"/>
              </w:rPr>
              <w:t xml:space="preserve"> Testament.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12"/>
              </w:numPr>
              <w:pBdr/>
              <w:spacing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Dezvoltarea </w:t>
            </w:r>
            <w:r>
              <w:rPr>
                <w:sz w:val="22"/>
                <w:szCs w:val="22"/>
              </w:rPr>
              <w:t xml:space="preserve">abilităţilor</w:t>
            </w:r>
            <w:r>
              <w:rPr>
                <w:sz w:val="22"/>
                <w:szCs w:val="22"/>
              </w:rPr>
              <w:t xml:space="preserve"> argumentative.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Bdr/>
        <w:spacing/>
        <w:ind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7. </w:t>
      </w:r>
      <w:r>
        <w:rPr>
          <w:b/>
          <w:sz w:val="22"/>
          <w:szCs w:val="22"/>
        </w:rPr>
        <w:t xml:space="preserve">Conţinuturi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054"/>
        <w:gridCol w:w="2948"/>
        <w:gridCol w:w="1910"/>
      </w:tblGrid>
      <w:tr>
        <w:trPr>
          <w:trHeight w:val="550"/>
        </w:trPr>
        <w:tc>
          <w:tcPr>
            <w:shd w:val="clear" w:color="ffffff" w:fill="d9d9d9"/>
            <w:tcBorders/>
            <w:tcW w:w="5084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7.1. Curs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Metode de predare</w:t>
            </w:r>
            <w:r>
              <w:rPr>
                <w:b/>
                <w:sz w:val="22"/>
                <w:szCs w:val="22"/>
                <w:lang w:val="en-US"/>
              </w:rPr>
              <w:t xml:space="preserve">: </w:t>
            </w:r>
            <w:r>
              <w:rPr>
                <w:b/>
                <w:sz w:val="22"/>
                <w:szCs w:val="22"/>
                <w:lang w:val="en-US"/>
              </w:rPr>
              <w:t xml:space="preserve">expunere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 xml:space="preserve">interactivă</w:t>
            </w:r>
            <w:r>
              <w:rPr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b/>
                <w:sz w:val="22"/>
                <w:szCs w:val="22"/>
                <w:lang w:val="en-US"/>
              </w:rPr>
              <w:t xml:space="preserve">descoperire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 xml:space="preserve">dirijată</w:t>
            </w:r>
            <w:r>
              <w:rPr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b/>
                <w:sz w:val="22"/>
                <w:szCs w:val="22"/>
                <w:lang w:val="en-US"/>
              </w:rPr>
              <w:t xml:space="preserve">altele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1916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Observaţii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21"/>
        </w:trPr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1. Introducere în curs</w:t>
            </w:r>
            <w:r/>
          </w:p>
        </w:tc>
        <w:tc>
          <w:tcPr>
            <w:shd w:val="clear" w:color="ffffff" w:fill="ffffff"/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</w:tc>
        <w:tc>
          <w:tcPr>
            <w:shd w:val="clear" w:color="ffffff" w:fill="ffffff"/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2 ore fizice</w:t>
            </w:r>
            <w:r/>
          </w:p>
        </w:tc>
      </w:tr>
      <w:tr>
        <w:trPr>
          <w:trHeight w:val="273"/>
        </w:trPr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2. </w:t>
            </w:r>
            <w:r>
              <w:t xml:space="preserve">O privire biblică asupra originii familiei</w:t>
            </w:r>
            <w:r/>
          </w:p>
        </w:tc>
        <w:tc>
          <w:tcPr>
            <w:shd w:val="clear" w:color="ffffff" w:fill="ffffff"/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2 ore fizice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3. </w:t>
            </w:r>
            <w:r>
              <w:rPr>
                <w:lang w:val="en-US"/>
              </w:rPr>
              <w:t xml:space="preserve">Menirea familiei</w:t>
            </w:r>
            <w:r>
              <w:rPr>
                <w:lang w:val="ro-RO"/>
              </w:rPr>
              <w:t xml:space="preserve"> conform VT și NT</w:t>
            </w:r>
            <w:r/>
          </w:p>
        </w:tc>
        <w:tc>
          <w:tcPr>
            <w:shd w:val="clear" w:color="ffffff" w:fill="ffffff"/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2 ore fizice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4. </w:t>
            </w:r>
            <w:r>
              <w:t xml:space="preserve">.Rolurile soților în familie: tradiție, cultură și perspective biblicee </w:t>
            </w:r>
            <w:r/>
          </w:p>
        </w:tc>
        <w:tc>
          <w:tcPr>
            <w:shd w:val="clear" w:color="ffffff" w:fill="ffffff"/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2 ore fizice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5. Forme, stadii și dinamici familiale</w:t>
            </w:r>
            <w:r>
              <w:t xml:space="preserve"> </w:t>
            </w:r>
            <w:r/>
          </w:p>
        </w:tc>
        <w:tc>
          <w:tcPr>
            <w:shd w:val="clear" w:color="ffffff" w:fill="ffffff"/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2 ore fizice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6. </w:t>
            </w:r>
            <w:r>
              <w:t xml:space="preserve">Studii de caz: exemple de familii în VT</w:t>
            </w:r>
            <w:r/>
          </w:p>
        </w:tc>
        <w:tc>
          <w:tcPr>
            <w:shd w:val="clear" w:color="ffffff" w:fill="ffffff"/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2 ore fizice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7. </w:t>
            </w:r>
            <w:r>
              <w:t xml:space="preserve">Studii de caz: exemple de familii în NT</w:t>
            </w:r>
            <w:r/>
          </w:p>
        </w:tc>
        <w:tc>
          <w:tcPr>
            <w:shd w:val="clear" w:color="ffffff" w:fill="ffffff"/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2 ore fizice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8. </w:t>
            </w:r>
            <w:r>
              <w:t xml:space="preserve">Familia și închinarea</w:t>
            </w:r>
            <w:r/>
          </w:p>
        </w:tc>
        <w:tc>
          <w:tcPr>
            <w:shd w:val="clear" w:color="ffffff" w:fill="ffffff"/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2 ore fizice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9. </w:t>
            </w:r>
            <w:r>
              <w:t xml:space="preserve">Teologia biblică și tratarea conflictelor în familie</w:t>
            </w:r>
            <w:r/>
          </w:p>
        </w:tc>
        <w:tc>
          <w:tcPr>
            <w:shd w:val="clear" w:color="ffffff" w:fill="ffffff"/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2 ore fizice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10. </w:t>
            </w:r>
            <w:r>
              <w:t xml:space="preserve">Teologia personalității umane și echilibrul în familie</w:t>
            </w:r>
            <w:r/>
          </w:p>
        </w:tc>
        <w:tc>
          <w:tcPr>
            <w:shd w:val="clear" w:color="ffffff" w:fill="ffffff"/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2 ore fizice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11. </w:t>
            </w:r>
            <w:r>
              <w:t xml:space="preserve">Teologia familiei și modelul divin triunic</w:t>
            </w:r>
            <w:r/>
          </w:p>
        </w:tc>
        <w:tc>
          <w:tcPr>
            <w:shd w:val="clear" w:color="ffffff" w:fill="ffffff"/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2 ore fizice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12</w:t>
            </w:r>
            <w:r>
              <w:t xml:space="preserve">. Teologia integrării în comunitate</w:t>
            </w:r>
            <w:r/>
          </w:p>
        </w:tc>
        <w:tc>
          <w:tcPr>
            <w:shd w:val="clear" w:color="ffffff" w:fill="ffffff"/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2 ore fizice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13. </w:t>
            </w:r>
            <w:r>
              <w:t xml:space="preserve">Valoarea familiei ca micro-comunitate</w:t>
            </w:r>
            <w:r/>
          </w:p>
        </w:tc>
        <w:tc>
          <w:tcPr>
            <w:shd w:val="clear" w:color="ffffff" w:fill="ffffff"/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2 ore fizice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14. </w:t>
            </w:r>
            <w:r>
              <w:rPr>
                <w:lang w:val="ro-RO"/>
              </w:rPr>
              <w:t xml:space="preserve">Teologia și politicile familiale în societate</w:t>
            </w:r>
            <w:r>
              <w:rPr>
                <w:lang w:val="en-US"/>
              </w:rPr>
              <w:t xml:space="preserve"> </w:t>
            </w:r>
            <w:r/>
          </w:p>
        </w:tc>
        <w:tc>
          <w:tcPr>
            <w:shd w:val="clear" w:color="ffffff" w:fill="ffffff"/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2 ore fizice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892"/>
        </w:trPr>
        <w:tc>
          <w:tcPr>
            <w:shd w:val="clear" w:color="ffffff" w:fill="d9d9d9"/>
            <w:tcBorders/>
            <w:tcW w:w="50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7.2. Seminar / laborator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Metode</w:t>
            </w:r>
            <w:r>
              <w:rPr>
                <w:b/>
                <w:sz w:val="22"/>
                <w:szCs w:val="22"/>
                <w:lang w:val="en-US"/>
              </w:rPr>
              <w:t xml:space="preserve"> de seminar: </w:t>
            </w:r>
            <w:r>
              <w:rPr>
                <w:b/>
                <w:sz w:val="22"/>
                <w:szCs w:val="22"/>
                <w:lang w:val="en-US"/>
              </w:rPr>
              <w:t xml:space="preserve">dezbatere</w:t>
            </w:r>
            <w:r>
              <w:rPr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b/>
                <w:sz w:val="22"/>
                <w:szCs w:val="22"/>
                <w:lang w:val="en-US"/>
              </w:rPr>
              <w:t xml:space="preserve">analiză</w:t>
            </w:r>
            <w:r>
              <w:rPr>
                <w:b/>
                <w:sz w:val="22"/>
                <w:szCs w:val="22"/>
                <w:lang w:val="en-US"/>
              </w:rPr>
              <w:t xml:space="preserve"> de </w:t>
            </w:r>
            <w:r>
              <w:rPr>
                <w:b/>
                <w:sz w:val="22"/>
                <w:szCs w:val="22"/>
                <w:lang w:val="en-US"/>
              </w:rPr>
              <w:t xml:space="preserve">caz</w:t>
            </w:r>
            <w:r>
              <w:rPr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b/>
                <w:sz w:val="22"/>
                <w:szCs w:val="22"/>
                <w:lang w:val="en-US"/>
              </w:rPr>
              <w:t xml:space="preserve">lucrare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1916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1. Introducere în curs</w:t>
            </w:r>
            <w:r/>
          </w:p>
        </w:tc>
        <w:tc>
          <w:tcPr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 de caz</w:t>
            </w:r>
            <w:r/>
          </w:p>
        </w:tc>
        <w:tc>
          <w:tcPr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2. </w:t>
            </w:r>
            <w:r>
              <w:t xml:space="preserve">O privire biblică asupra originii familiei</w:t>
            </w:r>
            <w:r/>
          </w:p>
        </w:tc>
        <w:tc>
          <w:tcPr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 de caz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3. </w:t>
            </w:r>
            <w:r>
              <w:rPr>
                <w:lang w:val="en-US"/>
              </w:rPr>
              <w:t xml:space="preserve">Menirea familiei</w:t>
            </w:r>
            <w:r>
              <w:rPr>
                <w:lang w:val="ro-RO"/>
              </w:rPr>
              <w:t xml:space="preserve"> conform VT și NT</w:t>
            </w:r>
            <w:r/>
          </w:p>
        </w:tc>
        <w:tc>
          <w:tcPr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 de caz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4. </w:t>
            </w:r>
            <w:r>
              <w:t xml:space="preserve">.Rolurile soților în familie: tradiție, cultură și perspective biblicee </w:t>
            </w:r>
            <w:r/>
          </w:p>
        </w:tc>
        <w:tc>
          <w:tcPr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 de caz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5. Forme, stadii și dinamici familiale</w:t>
            </w:r>
            <w:r>
              <w:t xml:space="preserve"> </w:t>
            </w:r>
            <w:r/>
          </w:p>
        </w:tc>
        <w:tc>
          <w:tcPr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 de caz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6. </w:t>
            </w:r>
            <w:r>
              <w:t xml:space="preserve">Studii de caz: exemple de familii în VT</w:t>
            </w:r>
            <w:r/>
          </w:p>
        </w:tc>
        <w:tc>
          <w:tcPr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 de caz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7. </w:t>
            </w:r>
            <w:r>
              <w:t xml:space="preserve">Studii de caz: exemple de familii în NT</w:t>
            </w:r>
            <w:r/>
          </w:p>
        </w:tc>
        <w:tc>
          <w:tcPr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 de caz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8. </w:t>
            </w:r>
            <w:r>
              <w:t xml:space="preserve">Familia și închinarea</w:t>
            </w:r>
            <w:r/>
          </w:p>
        </w:tc>
        <w:tc>
          <w:tcPr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 de caz</w:t>
            </w:r>
            <w:r/>
          </w:p>
          <w:p>
            <w:pPr>
              <w:pBdr/>
              <w:spacing/>
              <w:ind/>
              <w:rPr/>
            </w:pPr>
            <w:r>
              <w:t xml:space="preserve">Dezbatere, analiza de caz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9. </w:t>
            </w:r>
            <w:r>
              <w:t xml:space="preserve">Teologia biblică și tratarea conflictelor în familie</w:t>
            </w:r>
            <w:r/>
          </w:p>
        </w:tc>
        <w:tc>
          <w:tcPr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 de caz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10. </w:t>
            </w:r>
            <w:r>
              <w:t xml:space="preserve">Teologia personalității umane și echilibrul în familie</w:t>
            </w:r>
            <w:r/>
          </w:p>
        </w:tc>
        <w:tc>
          <w:tcPr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 de caz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11. </w:t>
            </w:r>
            <w:r>
              <w:t xml:space="preserve">Teologia familiei și modelul divin triunic</w:t>
            </w:r>
            <w:r/>
          </w:p>
        </w:tc>
        <w:tc>
          <w:tcPr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 de caz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12</w:t>
            </w:r>
            <w:r>
              <w:t xml:space="preserve">. Teologia integrării în comunitate</w:t>
            </w:r>
            <w:r/>
          </w:p>
        </w:tc>
        <w:tc>
          <w:tcPr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 de caz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13. </w:t>
            </w:r>
            <w:r>
              <w:t xml:space="preserve">Valoarea familiei ca micro-comunitate</w:t>
            </w:r>
            <w:r/>
          </w:p>
        </w:tc>
        <w:tc>
          <w:tcPr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 de caz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/>
            </w:pPr>
            <w:r>
              <w:t xml:space="preserve">14. </w:t>
            </w:r>
            <w:r>
              <w:rPr>
                <w:lang w:val="ro-RO"/>
              </w:rPr>
              <w:t xml:space="preserve">Teologia și politicile familiale în societate</w:t>
            </w:r>
            <w:r>
              <w:rPr>
                <w:lang w:val="en-US"/>
              </w:rPr>
              <w:t xml:space="preserve"> </w:t>
            </w:r>
            <w:r/>
          </w:p>
        </w:tc>
        <w:tc>
          <w:tcPr>
            <w:tcBorders/>
            <w:tcW w:w="2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 de caz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gridSpan w:val="3"/>
            <w:shd w:val="clear" w:color="ffffff" w:fill="ffffff"/>
            <w:tcBorders/>
            <w:tcW w:w="9962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8. Bibliografie generală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Bibliografie obligatorie 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/>
            </w:pPr>
            <w:r>
              <w:rPr>
                <w:sz w:val="22"/>
                <w:szCs w:val="22"/>
              </w:rPr>
            </w:r>
            <w:r>
              <w:t xml:space="preserve">Timotei Rusu, Familia Creștină – Principii de Bază, Editura Cetate: Deva, 2003.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/>
            </w:pPr>
            <w:r>
              <w:t xml:space="preserve">Jack și Carole Mayhall</w:t>
            </w:r>
            <w:r>
              <w:t xml:space="preserve">, Căsătoria cere mai mult decât dragoste, Editura Cartea Cărții, Oradea, 2021.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</w:rPr>
              <w:t xml:space="preserve">Bibliografie </w:t>
            </w:r>
            <w:r>
              <w:rPr>
                <w:b/>
                <w:bCs/>
                <w:sz w:val="22"/>
                <w:szCs w:val="22"/>
              </w:rPr>
              <w:t xml:space="preserve">optionala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/>
            </w:pPr>
            <w:r/>
            <w:hyperlink r:id="rId16" w:tooltip="https://www.librariamaranatha.ro/catalogsearch/advanced/result/?autor=Ruth+Chou+Simons" w:history="1">
              <w:r>
                <w:t xml:space="preserve">Ruth Chou Simons</w:t>
              </w:r>
            </w:hyperlink>
            <w:r>
              <w:t xml:space="preserve">, Troi Simons, Fundamente, 12 principii biblice care modelează o familie sănătoasă,  </w:t>
            </w:r>
            <w:r>
              <w:t xml:space="preserve">E</w:t>
            </w:r>
            <w:r>
              <w:t xml:space="preserve">ditura</w:t>
            </w:r>
            <w:r>
              <w:t xml:space="preserve">:</w:t>
            </w:r>
            <w:r>
              <w:t xml:space="preserve"> </w:t>
            </w:r>
            <w:r>
              <w:t xml:space="preserve">Stephanus</w:t>
            </w:r>
            <w:r>
              <w:t xml:space="preserve">, 2022.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highlight w:val="none"/>
              </w:rPr>
            </w:pPr>
            <w:r/>
            <w:hyperlink r:id="rId17" w:tooltip="https://www.ecasacartii.ro/produse/filter/autor/h-norman-wright.html" w:history="1">
              <w:r>
                <w:t xml:space="preserve">H. Norman Wright</w:t>
              </w:r>
            </w:hyperlink>
            <w:r>
              <w:t xml:space="preserve">, Comunicarea, cheia</w:t>
            </w:r>
            <w:r>
              <w:t xml:space="preserve"> căsniciei tale</w:t>
            </w:r>
            <w:r>
              <w:t xml:space="preserve">, Editura Noua Speranță, 20</w:t>
            </w:r>
            <w:r>
              <w:t xml:space="preserve">1</w:t>
            </w:r>
            <w:r>
              <w:t xml:space="preserve">1</w:t>
            </w:r>
            <w:r>
              <w:t xml:space="preserve">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t xml:space="preserve">DeVries, Mark. </w:t>
            </w:r>
            <w:r>
              <w:rPr>
                <w:i/>
                <w:iCs/>
              </w:rPr>
              <w:t xml:space="preserve">Family-Based Youth Ministry: Reaching the Been-There, Done-That  Generation</w:t>
            </w:r>
            <w:r>
              <w:t xml:space="preserve">. Downers Grove, IL: InterVarsity, 1994. 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/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</w:tc>
      </w:tr>
    </w:tbl>
    <w:p>
      <w:pPr>
        <w:pBdr/>
        <w:spacing/>
        <w:ind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Bdr/>
        <w:spacing/>
        <w:ind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9. </w:t>
      </w:r>
      <w:r>
        <w:rPr>
          <w:b/>
        </w:rPr>
        <w:t xml:space="preserve">Coroborarea </w:t>
      </w:r>
      <w:r>
        <w:rPr>
          <w:b/>
        </w:rPr>
        <w:t xml:space="preserve">conținuturilor</w:t>
      </w:r>
      <w:r>
        <w:rPr>
          <w:b/>
        </w:rPr>
        <w:t xml:space="preserve"> disciplinei cu </w:t>
      </w:r>
      <w:r>
        <w:rPr>
          <w:b/>
        </w:rPr>
        <w:t xml:space="preserve">așteptările</w:t>
      </w:r>
      <w:r>
        <w:rPr>
          <w:b/>
        </w:rPr>
        <w:t xml:space="preserve"> </w:t>
      </w:r>
      <w:r>
        <w:rPr>
          <w:b/>
        </w:rPr>
        <w:t xml:space="preserve">reprezentanţilor</w:t>
      </w:r>
      <w:r>
        <w:rPr>
          <w:b/>
        </w:rPr>
        <w:t xml:space="preserve"> </w:t>
      </w:r>
      <w:r>
        <w:rPr>
          <w:b/>
        </w:rPr>
        <w:t xml:space="preserve">comunităţii</w:t>
      </w:r>
      <w:r>
        <w:rPr>
          <w:b/>
        </w:rPr>
        <w:t xml:space="preserve"> epistemice, </w:t>
      </w:r>
      <w:r>
        <w:rPr>
          <w:b/>
        </w:rPr>
        <w:t xml:space="preserve">asociaţiilor</w:t>
      </w:r>
      <w:r>
        <w:rPr>
          <w:b/>
        </w:rPr>
        <w:t xml:space="preserve">  profesionale </w:t>
      </w:r>
      <w:r>
        <w:rPr>
          <w:b/>
        </w:rPr>
        <w:t xml:space="preserve">şi</w:t>
      </w:r>
      <w:r>
        <w:rPr>
          <w:b/>
        </w:rPr>
        <w:t xml:space="preserve"> angajatori reprezentativi din domeniul aferent programului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0029"/>
      </w:tblGrid>
      <w:tr>
        <w:trPr/>
        <w:tc>
          <w:tcPr>
            <w:tcBorders/>
            <w:tcW w:w="10029" w:type="dxa"/>
            <w:textDirection w:val="lrTb"/>
            <w:noWrap w:val="false"/>
          </w:tcPr>
          <w:p>
            <w:pPr>
              <w:numPr>
                <w:ilvl w:val="0"/>
                <w:numId w:val="13"/>
              </w:numPr>
              <w:pBdr/>
              <w:spacing/>
              <w:ind w:left="0"/>
              <w:rPr>
                <w:sz w:val="24"/>
                <w:szCs w:val="24"/>
              </w:rPr>
            </w:pPr>
            <w:r>
              <w:rPr>
                <w:lang w:val="en-US"/>
              </w:rPr>
              <w:t xml:space="preserve">Lucrările</w:t>
            </w:r>
            <w:r>
              <w:rPr>
                <w:lang w:val="en-US"/>
              </w:rPr>
              <w:t xml:space="preserve"> de tip </w:t>
            </w:r>
            <w:r>
              <w:rPr>
                <w:lang w:val="en-US"/>
              </w:rPr>
              <w:t xml:space="preserve">eseu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ştiinţific</w:t>
            </w:r>
            <w:r>
              <w:rPr>
                <w:lang w:val="en-US"/>
              </w:rPr>
              <w:t xml:space="preserve">, s</w:t>
            </w:r>
            <w:r>
              <w:t xml:space="preserve">tudiile</w:t>
            </w:r>
            <w:r>
              <w:t xml:space="preserve"> de caz </w:t>
            </w:r>
            <w:r>
              <w:t xml:space="preserve">şi</w:t>
            </w:r>
            <w:r>
              <w:t xml:space="preserve"> </w:t>
            </w:r>
            <w:r>
              <w:rPr>
                <w:lang w:val="en-US"/>
              </w:rPr>
              <w:t xml:space="preserve">ale </w:t>
            </w:r>
            <w:r>
              <w:t xml:space="preserve">lucrările practice se efectuează conform </w:t>
            </w:r>
            <w:r>
              <w:rPr>
                <w:lang w:val="en-US"/>
              </w:rPr>
              <w:t xml:space="preserve">metodologiei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proprii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ştiinţelor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teologice</w:t>
            </w:r>
            <w:r>
              <w:rPr>
                <w:lang w:val="en-US"/>
              </w:rPr>
              <w:t xml:space="preserve">, </w:t>
            </w:r>
            <w:r>
              <w:rPr>
                <w:lang w:val="en-US"/>
              </w:rPr>
              <w:t xml:space="preserve">filozofice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şi</w:t>
            </w:r>
            <w:r>
              <w:rPr>
                <w:lang w:val="en-US"/>
              </w:rPr>
              <w:t xml:space="preserve"> social – </w:t>
            </w:r>
            <w:r>
              <w:rPr>
                <w:lang w:val="en-US"/>
              </w:rPr>
              <w:t xml:space="preserve">istorice</w:t>
            </w:r>
            <w:r>
              <w:rPr>
                <w:lang w:val="en-US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/>
        <w:spacing/>
        <w:ind/>
        <w:jc w:val="center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Bdr/>
        <w:tabs>
          <w:tab w:val="center" w:leader="none" w:pos="4873"/>
        </w:tabs>
        <w:spacing/>
        <w:ind/>
        <w:rPr>
          <w:b/>
        </w:rPr>
      </w:pPr>
      <w:r>
        <w:rPr>
          <w:b/>
        </w:rPr>
        <w:t xml:space="preserve">10. Evaluare</w:t>
      </w:r>
      <w:r>
        <w:rPr>
          <w:b/>
        </w:rPr>
        <w:tab/>
      </w:r>
      <w:r>
        <w:rPr>
          <w:b/>
        </w:rPr>
      </w:r>
      <w:r>
        <w:rPr>
          <w:b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545"/>
        <w:gridCol w:w="2221"/>
        <w:gridCol w:w="3662"/>
        <w:gridCol w:w="1484"/>
      </w:tblGrid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Tip activitate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Bdr/>
              <w:spacing/>
              <w:ind w:right="-154" w:left="46"/>
              <w:rPr/>
            </w:pPr>
            <w:r>
              <w:t xml:space="preserve">10.1 Tip de evaluare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10.2 Metode de evaluare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10.3 Pondere din nota finală</w:t>
            </w:r>
            <w:r/>
          </w:p>
        </w:tc>
      </w:tr>
      <w:tr>
        <w:trPr>
          <w:trHeight w:val="13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10.4 Curs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Evaluare finală 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Examen practic și/sau oral 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60%</w:t>
            </w:r>
            <w:r/>
          </w:p>
        </w:tc>
      </w:tr>
      <w:tr>
        <w:trPr>
          <w:trHeight w:val="5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Verificarea </w:t>
            </w:r>
            <w:r>
              <w:rPr>
                <w:i/>
              </w:rPr>
              <w:t xml:space="preserve">calităţii</w:t>
            </w:r>
            <w:r>
              <w:rPr>
                <w:i/>
              </w:rPr>
              <w:t xml:space="preserve"> lucrărilor practice realizate pe parcursul semestrului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lang w:val="en-US"/>
              </w:rPr>
              <w:t xml:space="preserve">20</w:t>
            </w:r>
            <w:r>
              <w:t xml:space="preserve">%</w:t>
            </w:r>
            <w:r/>
          </w:p>
        </w:tc>
      </w:tr>
      <w:tr>
        <w:trPr>
          <w:trHeight w:val="13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10.5 Seminar/laborator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Evaluare pe parcurs</w:t>
            </w:r>
            <w:r>
              <w:rPr>
                <w:i/>
              </w:rPr>
            </w:r>
            <w:r>
              <w:rPr>
                <w:i/>
              </w:rPr>
            </w:r>
          </w:p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Verificarea </w:t>
            </w:r>
            <w:r>
              <w:rPr>
                <w:i/>
              </w:rPr>
              <w:t xml:space="preserve">prezenţei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 xml:space="preserve">şi</w:t>
            </w:r>
            <w:r>
              <w:rPr>
                <w:i/>
              </w:rPr>
              <w:t xml:space="preserve"> a implicării în </w:t>
            </w:r>
            <w:r>
              <w:rPr>
                <w:i/>
              </w:rPr>
              <w:t xml:space="preserve">activităţile</w:t>
            </w:r>
            <w:r>
              <w:rPr>
                <w:i/>
              </w:rPr>
              <w:t xml:space="preserve"> de seminar semestriale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lang w:val="en-US"/>
              </w:rPr>
              <w:t xml:space="preserve">2</w:t>
            </w:r>
            <w:r>
              <w:t xml:space="preserve">0%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10.6 Standard minim de </w:t>
            </w:r>
            <w:r>
              <w:t xml:space="preserve">performanţă</w:t>
            </w:r>
            <w:r>
              <w:t xml:space="preserve">: </w:t>
            </w:r>
            <w:r>
              <w:t xml:space="preserve">Cunoaşterea</w:t>
            </w:r>
            <w:r>
              <w:t xml:space="preserve"> teologiei familiei in VT și </w:t>
            </w:r>
            <w:r>
              <w:rPr>
                <w:lang w:val="en-US"/>
              </w:rPr>
              <w:t xml:space="preserve">NT</w:t>
            </w:r>
            <w:r>
              <w:rPr>
                <w:lang w:val="ro-RO"/>
              </w:rPr>
              <w:t xml:space="preserve">: Cunoașterea principalelor pasaje despre familie în VT și NT</w:t>
            </w:r>
            <w:r>
              <w:rPr>
                <w:lang w:val="en-US"/>
              </w:rPr>
            </w:r>
            <w:r/>
          </w:p>
        </w:tc>
      </w:tr>
    </w:tbl>
    <w:p>
      <w:pPr>
        <w:pBdr/>
        <w:spacing/>
        <w:ind/>
        <w:jc w:val="center"/>
        <w:rPr>
          <w:sz w:val="12"/>
          <w:szCs w:val="16"/>
        </w:rPr>
      </w:pPr>
      <w:r>
        <w:rPr>
          <w:sz w:val="12"/>
          <w:szCs w:val="16"/>
        </w:rPr>
      </w:r>
      <w:r>
        <w:rPr>
          <w:sz w:val="12"/>
          <w:szCs w:val="16"/>
        </w:rPr>
      </w:r>
      <w:r>
        <w:rPr>
          <w:sz w:val="12"/>
          <w:szCs w:val="16"/>
        </w:rPr>
      </w:r>
    </w:p>
    <w:p>
      <w:pPr>
        <w:pBdr/>
        <w:tabs>
          <w:tab w:val="center" w:leader="none" w:pos="4873"/>
        </w:tabs>
        <w:spacing/>
        <w:ind/>
        <w:rPr/>
      </w:pPr>
      <w:r>
        <w:t xml:space="preserve">          </w:t>
      </w:r>
      <w:r>
        <w:rPr>
          <w:lang w:val="en-US"/>
        </w:rPr>
        <w:t xml:space="preserve">  </w:t>
      </w:r>
      <w:r/>
    </w:p>
    <w:p>
      <w:pPr>
        <w:pBdr/>
        <w:spacing/>
        <w:ind/>
        <w:rPr>
          <w:highlight w:val="none"/>
        </w:rPr>
      </w:pPr>
      <w:r>
        <w:rPr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3096744</wp:posOffset>
                </wp:positionH>
                <wp:positionV relativeFrom="paragraph">
                  <wp:posOffset>68555</wp:posOffset>
                </wp:positionV>
                <wp:extent cx="708660" cy="518410"/>
                <wp:effectExtent l="0" t="0" r="0" b="0"/>
                <wp:wrapNone/>
                <wp:docPr id="4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80682158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>
                          <a:lum bright="20000"/>
                        </a:blip>
                        <a:srcRect l="17377" t="8205" r="16620" b="15384"/>
                        <a:stretch/>
                      </pic:blipFill>
                      <pic:spPr bwMode="auto">
                        <a:xfrm rot="0" flipH="0" flipV="0">
                          <a:off x="0" y="0"/>
                          <a:ext cx="708659" cy="51840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position:absolute;z-index:-251658240;o:allowoverlap:true;o:allowincell:true;mso-position-horizontal-relative:text;margin-left:243.84pt;mso-position-horizontal:absolute;mso-position-vertical-relative:text;margin-top:5.40pt;mso-position-vertical:absolute;width:55.80pt;height:40.82pt;mso-wrap-distance-left:9.00pt;mso-wrap-distance-top:0.00pt;mso-wrap-distance-right:9.00pt;mso-wrap-distance-bottom:0.00pt;rotation:0;z-index:1;" stroked="false">
                <v:imagedata r:id="rId18" o:title=""/>
                <o:lock v:ext="edit" rotation="t"/>
              </v:shape>
            </w:pict>
          </mc:Fallback>
        </mc:AlternateContent>
      </w:r>
      <w:r>
        <w:rPr>
          <w:lang w:val="en-US"/>
        </w:rPr>
        <w:t xml:space="preserve">     </w:t>
      </w:r>
      <w:r>
        <w:t xml:space="preserve">  </w:t>
      </w:r>
      <w:r>
        <w:rPr>
          <w:lang w:val="en-US"/>
        </w:rPr>
        <w:t xml:space="preserve">  </w:t>
      </w:r>
      <w:r>
        <w:t xml:space="preserve">Data completării</w:t>
      </w:r>
      <w:r>
        <w:tab/>
        <w:t xml:space="preserve">                                      Semnătura titularului de curs</w:t>
      </w:r>
      <w:r>
        <w:rPr>
          <w:highlight w:val="none"/>
        </w:rPr>
      </w:r>
      <w:r>
        <w:rPr>
          <w:highlight w:val="none"/>
        </w:rPr>
      </w:r>
    </w:p>
    <w:p>
      <w:pPr>
        <w:pBdr/>
        <w:spacing/>
        <w:ind/>
        <w:rPr/>
      </w:pPr>
      <w:r>
        <w:t xml:space="preserve">         </w:t>
      </w:r>
      <w:r>
        <w:rPr>
          <w:lang w:val="en-US"/>
        </w:rPr>
        <w:t xml:space="preserve">1</w:t>
      </w:r>
      <w:r>
        <w:rPr>
          <w:lang w:val="ro-RO"/>
        </w:rPr>
        <w:t xml:space="preserve">1</w:t>
      </w:r>
      <w:r>
        <w:t xml:space="preserve">.11</w:t>
      </w:r>
      <w:r>
        <w:t xml:space="preserve">.202</w:t>
      </w:r>
      <w:r>
        <w:rPr>
          <w:lang w:val="en-US"/>
        </w:rPr>
        <w:t xml:space="preserve">4</w:t>
      </w:r>
      <w:r>
        <w:tab/>
      </w:r>
      <w:r/>
    </w:p>
    <w:p>
      <w:pPr>
        <w:pBdr/>
        <w:spacing/>
        <w:ind/>
        <w:rPr/>
      </w:pPr>
      <w:r>
        <w:t xml:space="preserve">                                 </w:t>
      </w:r>
      <w:r>
        <w:rPr>
          <w:lang w:val="en-US"/>
        </w:rPr>
      </w:r>
      <w:r/>
    </w:p>
    <w:p>
      <w:pPr>
        <w:pBdr/>
        <w:spacing/>
        <w:ind/>
        <w:rPr/>
      </w:pPr>
      <w:r>
        <w:tab/>
        <w:t xml:space="preserve">                                                                          </w:t>
      </w:r>
      <w:r>
        <w:rPr>
          <w:lang w:val="en-US"/>
        </w:rPr>
        <w:t xml:space="preserve">...........</w:t>
      </w:r>
      <w:r>
        <w:t xml:space="preserve">.................................................</w:t>
      </w:r>
      <w:r>
        <w:rPr>
          <w:lang w:val="en-US"/>
        </w:rPr>
        <w:t xml:space="preserve">......</w:t>
      </w:r>
      <w:r>
        <w:tab/>
      </w:r>
      <w:r/>
    </w:p>
    <w:p>
      <w:pPr>
        <w:pBdr/>
        <w:spacing/>
        <w:ind/>
        <w:jc w:val="center"/>
        <w:rPr>
          <w:sz w:val="12"/>
        </w:rPr>
      </w:pPr>
      <w:r>
        <w:rPr>
          <w:sz w:val="12"/>
        </w:rPr>
      </w:r>
      <w:r>
        <w:rPr>
          <w:sz w:val="12"/>
        </w:rPr>
      </w:r>
      <w:r>
        <w:rPr>
          <w:sz w:val="12"/>
        </w:rPr>
      </w:r>
    </w:p>
    <w:p>
      <w:pPr>
        <w:pBdr/>
        <w:spacing/>
        <w:ind/>
        <w:rPr>
          <w:highlight w:val="none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3096744</wp:posOffset>
                </wp:positionH>
                <wp:positionV relativeFrom="paragraph">
                  <wp:posOffset>74917</wp:posOffset>
                </wp:positionV>
                <wp:extent cx="708660" cy="518410"/>
                <wp:effectExtent l="0" t="0" r="0" b="0"/>
                <wp:wrapNone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6158614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>
                          <a:lum bright="20000"/>
                        </a:blip>
                        <a:srcRect l="17377" t="8205" r="16620" b="15384"/>
                        <a:stretch/>
                      </pic:blipFill>
                      <pic:spPr bwMode="auto">
                        <a:xfrm rot="0" flipH="0" flipV="0">
                          <a:off x="0" y="0"/>
                          <a:ext cx="708659" cy="51840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position:absolute;z-index:-251658240;o:allowoverlap:true;o:allowincell:true;mso-position-horizontal-relative:text;margin-left:243.84pt;mso-position-horizontal:absolute;mso-position-vertical-relative:text;margin-top:5.90pt;mso-position-vertical:absolute;width:55.80pt;height:40.82pt;mso-wrap-distance-left:9.00pt;mso-wrap-distance-top:0.00pt;mso-wrap-distance-right:9.00pt;mso-wrap-distance-bottom:0.00pt;rotation:0;z-index:1;" stroked="false">
                <v:imagedata r:id="rId18" o:title=""/>
                <o:lock v:ext="edit" rotation="t"/>
              </v:shape>
            </w:pict>
          </mc:Fallback>
        </mc:AlternateContent>
      </w:r>
      <w:r>
        <w:tab/>
      </w:r>
      <w:r>
        <w:t xml:space="preserve">                                                                         Semnătura titularului de seminar</w:t>
      </w:r>
      <w:r>
        <w:rPr>
          <w:highlight w:val="none"/>
        </w:rPr>
      </w:r>
      <w:r>
        <w:rPr>
          <w:highlight w:val="none"/>
        </w:rPr>
      </w:r>
    </w:p>
    <w:p>
      <w:pPr>
        <w:pBdr/>
        <w:spacing/>
        <w:ind/>
        <w:rPr/>
      </w:pPr>
      <w:r>
        <w:rPr>
          <w:lang w:val="en-US"/>
        </w:rPr>
      </w:r>
      <w:r/>
    </w:p>
    <w:p>
      <w:pPr>
        <w:pBdr/>
        <w:spacing/>
        <w:ind/>
        <w:rPr/>
      </w:pPr>
      <w:r>
        <w:rPr>
          <w:highlight w:val="none"/>
        </w:rPr>
      </w:r>
      <w:r>
        <w:rPr>
          <w:highlight w:val="none"/>
        </w:rPr>
      </w:r>
      <w:r/>
    </w:p>
    <w:p>
      <w:pPr>
        <w:pBdr/>
        <w:spacing/>
        <w:ind/>
        <w:rPr/>
      </w:pPr>
      <w:r>
        <w:t xml:space="preserve">                                                                                  </w:t>
      </w:r>
      <w:r>
        <w:rPr>
          <w:lang w:val="en-US"/>
        </w:rPr>
        <w:t xml:space="preserve">............</w:t>
      </w:r>
      <w:r>
        <w:t xml:space="preserve">...................................…………</w:t>
      </w:r>
      <w:r>
        <w:rPr>
          <w:lang w:val="en-US"/>
        </w:rPr>
        <w:t xml:space="preserve">..</w:t>
      </w:r>
      <w:r>
        <w:t xml:space="preserve"> </w:t>
      </w:r>
      <w:r/>
    </w:p>
    <w:p>
      <w:pPr>
        <w:pBdr/>
        <w:tabs>
          <w:tab w:val="center" w:leader="none" w:pos="4873"/>
        </w:tabs>
        <w:spacing/>
        <w:ind w:firstLine="708"/>
        <w:rPr>
          <w:sz w:val="12"/>
        </w:rPr>
      </w:pPr>
      <w:r>
        <w:t xml:space="preserve">  </w:t>
      </w:r>
      <w:r>
        <w:rPr>
          <w:sz w:val="12"/>
        </w:rPr>
        <w:tab/>
      </w:r>
      <w:r>
        <w:rPr>
          <w:sz w:val="12"/>
        </w:rPr>
      </w:r>
      <w:r>
        <w:rPr>
          <w:sz w:val="12"/>
        </w:rPr>
      </w:r>
    </w:p>
    <w:p>
      <w:pPr>
        <w:pBdr/>
        <w:spacing/>
        <w:ind/>
        <w:rPr>
          <w:highlight w:val="none"/>
        </w:rPr>
      </w:pPr>
      <w:r>
        <w:t xml:space="preserve">        Data avizării în departament</w:t>
      </w:r>
      <w:r>
        <w:tab/>
      </w:r>
      <w:r>
        <w:tab/>
        <w:t xml:space="preserve">             Semnătura directorului de departament</w:t>
      </w:r>
      <w:r>
        <w:tab/>
      </w:r>
      <w:r>
        <w:rPr>
          <w:highlight w:val="none"/>
        </w:rPr>
      </w:r>
      <w:r>
        <w:rPr>
          <w:highlight w:val="none"/>
        </w:rPr>
      </w:r>
    </w:p>
    <w:p>
      <w:pPr>
        <w:pBdr/>
        <w:spacing/>
        <w:ind/>
        <w:rPr/>
      </w:pPr>
      <w:r>
        <w:rPr>
          <w:highlight w:val="none"/>
        </w:rPr>
        <w:t xml:space="preserve">          18.11.24                                                                        </w:t>
      </w:r>
      <w:r>
        <w:rPr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06450" cy="234078"/>
                <wp:effectExtent l="4762" t="4762" r="4762" b="4762"/>
                <wp:docPr id="6" name="Picture 1" descr="D:\on-date-projects\masterat-iunie-24\0-dosar-calitate-ARACIS\anexe-template\semnatura-ob\obsig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2069524" name="Picture 1" descr="D:\on-date-projects\masterat-iunie-24\0-dosar-calitate-ARACIS\anexe-template\semnatura-ob\obsig3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 rot="0" flipH="0" flipV="0">
                          <a:off x="0" y="0"/>
                          <a:ext cx="806449" cy="23407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63.50pt;height:18.43pt;mso-wrap-distance-left:0.00pt;mso-wrap-distance-top:0.00pt;mso-wrap-distance-right:0.00pt;mso-wrap-distance-bottom:0.00pt;rotation:0;z-index:1;" stroked="f" strokeweight="0.75pt">
                <v:imagedata r:id="rId19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/>
    </w:p>
    <w:p>
      <w:pPr>
        <w:pBdr/>
        <w:spacing/>
        <w:ind/>
        <w:rPr/>
      </w:pPr>
      <w:r>
        <w:t xml:space="preserve">        ................................................                          ….............................................................</w:t>
      </w:r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continuous"/>
      <w:pgSz w:h="16840" w:orient="portrait" w:w="11907"/>
      <w:pgMar w:top="567" w:right="567" w:bottom="180" w:left="1418" w:header="567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ntium">
    <w:panose1 w:val="02000503060000020004"/>
  </w:font>
  <w:font w:name="Cambria">
    <w:panose1 w:val="02040503050406030204"/>
  </w:font>
  <w:font w:name="Liberation Sans-Italic-Bold">
    <w:panose1 w:val="020B0604020202020204"/>
  </w:font>
  <w:font w:name="Arial-Italic-Bold">
    <w:panose1 w:val="020B0604020202020204"/>
  </w:font>
  <w:font w:name="Albertus Medium">
    <w:panose1 w:val="020E0602030304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1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1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1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 w:left="851"/>
      <w:rPr>
        <w:rFonts w:ascii="Arial" w:hAnsi="Arial" w:cs="Arial"/>
        <w:b/>
        <w:bCs/>
        <w:color w:val="000041"/>
        <w:sz w:val="30"/>
        <w:szCs w:val="30"/>
      </w:rPr>
    </w:pPr>
    <w:r>
      <w:rPr>
        <w:b/>
        <w:bCs/>
        <w:color w:val="000041"/>
        <w:sz w:val="30"/>
        <w:szCs w:val="30"/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<wp:simplePos x="0" y="0"/>
              <wp:positionH relativeFrom="column">
                <wp:posOffset>-477520</wp:posOffset>
              </wp:positionH>
              <wp:positionV relativeFrom="paragraph">
                <wp:posOffset>-3810</wp:posOffset>
              </wp:positionV>
              <wp:extent cx="918845" cy="914400"/>
              <wp:effectExtent l="0" t="0" r="0" b="0"/>
              <wp:wrapNone/>
              <wp:docPr id="1" name="Imagine 1" descr="SIGLA FINALA 3x3cm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ine 1" descr="SIGLA FINALA 3x3cm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918845" cy="9144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8752;o:allowoverlap:true;o:allowincell:true;mso-position-horizontal-relative:text;margin-left:-37.60pt;mso-position-horizontal:absolute;mso-position-vertical-relative:text;margin-top:-0.30pt;mso-position-vertical:absolute;width:72.35pt;height:72.00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rFonts w:ascii="Arial" w:hAnsi="Arial" w:cs="Arial"/>
        <w:b/>
        <w:bCs/>
        <w:color w:val="000041"/>
        <w:sz w:val="30"/>
        <w:szCs w:val="30"/>
      </w:rPr>
      <w:t xml:space="preserve">INSTITUTUL TEOLOGIC BAPTIST DIN BUCUREŞTI</w:t>
    </w:r>
    <w:r>
      <w:rPr>
        <w:rFonts w:ascii="Arial" w:hAnsi="Arial" w:cs="Arial"/>
        <w:b/>
        <w:bCs/>
        <w:color w:val="000041"/>
        <w:sz w:val="30"/>
        <w:szCs w:val="30"/>
      </w:rPr>
    </w:r>
    <w:r>
      <w:rPr>
        <w:rFonts w:ascii="Arial" w:hAnsi="Arial" w:cs="Arial"/>
        <w:b/>
        <w:bCs/>
        <w:color w:val="000041"/>
        <w:sz w:val="30"/>
        <w:szCs w:val="30"/>
      </w:rPr>
    </w:r>
  </w:p>
  <w:p>
    <w:pPr>
      <w:pBdr/>
      <w:spacing/>
      <w:ind w:left="851"/>
      <w:rPr>
        <w:rFonts w:ascii="Arial" w:hAnsi="Arial" w:cs="Arial"/>
        <w:b/>
        <w:iCs/>
        <w:color w:val="000041"/>
        <w:sz w:val="24"/>
        <w:szCs w:val="24"/>
      </w:rPr>
    </w:pPr>
    <w:r>
      <w:rPr>
        <w:rFonts w:ascii="Arial" w:hAnsi="Arial" w:cs="Arial"/>
        <w:b/>
        <w:iCs/>
        <w:color w:val="000041"/>
      </w:rPr>
      <w:t xml:space="preserve">Facultatea de Teologie Baptistă – Departamentul de Teologie Baptistă Pastorală</w:t>
    </w:r>
    <w:r>
      <w:rPr>
        <w:rFonts w:ascii="Arial" w:hAnsi="Arial" w:cs="Arial"/>
        <w:b/>
        <w:iCs/>
        <w:color w:val="000041"/>
        <w:sz w:val="24"/>
        <w:szCs w:val="24"/>
      </w:rPr>
    </w:r>
    <w:r>
      <w:rPr>
        <w:rFonts w:ascii="Arial" w:hAnsi="Arial" w:cs="Arial"/>
        <w:b/>
        <w:iCs/>
        <w:color w:val="000041"/>
        <w:sz w:val="24"/>
        <w:szCs w:val="24"/>
      </w:rPr>
    </w:r>
  </w:p>
  <w:p>
    <w:pPr>
      <w:pBdr/>
      <w:spacing w:before="60"/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</w:rPr>
      <w:t xml:space="preserve">Str. Berzei, nr.29, sector 1, 010251, </w:t>
    </w:r>
    <w:r>
      <w:rPr>
        <w:rFonts w:ascii="Arial" w:hAnsi="Arial" w:cs="Arial"/>
        <w:color w:val="000041"/>
        <w:sz w:val="18"/>
        <w:szCs w:val="18"/>
      </w:rPr>
      <w:t xml:space="preserve">Bucureşti</w:t>
    </w:r>
    <w:r>
      <w:rPr>
        <w:rFonts w:ascii="Arial" w:hAnsi="Arial" w:cs="Arial"/>
        <w:color w:val="000041"/>
        <w:sz w:val="18"/>
        <w:szCs w:val="18"/>
      </w:rPr>
      <w:t xml:space="preserve">; Cod fiscal: 4528379</w:t>
    </w:r>
    <w:r>
      <w:rPr>
        <w:rFonts w:ascii="Arial" w:hAnsi="Arial" w:cs="Arial"/>
        <w:color w:val="000041"/>
        <w:sz w:val="18"/>
        <w:szCs w:val="18"/>
      </w:rPr>
    </w:r>
    <w:r>
      <w:rPr>
        <w:rFonts w:ascii="Arial" w:hAnsi="Arial" w:cs="Arial"/>
        <w:color w:val="000041"/>
        <w:sz w:val="18"/>
        <w:szCs w:val="18"/>
      </w:rPr>
    </w:r>
  </w:p>
  <w:p>
    <w:pPr>
      <w:pBdr/>
      <w:tabs>
        <w:tab w:val="left" w:leader="none" w:pos="1530"/>
      </w:tabs>
      <w:spacing/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</w:rPr>
      <w:t xml:space="preserve">RO52 RZBR 0000 0600 1034 5768; SWIFT: RZBR ROBU,  Raiffeisen Bank, Suc. </w:t>
    </w:r>
    <w:r>
      <w:rPr>
        <w:rFonts w:ascii="Arial" w:hAnsi="Arial" w:cs="Arial"/>
        <w:color w:val="000041"/>
        <w:sz w:val="18"/>
        <w:szCs w:val="18"/>
      </w:rPr>
      <w:t xml:space="preserve">Stirbei</w:t>
    </w:r>
    <w:r>
      <w:rPr>
        <w:rFonts w:ascii="Arial" w:hAnsi="Arial" w:cs="Arial"/>
        <w:color w:val="000041"/>
        <w:sz w:val="18"/>
        <w:szCs w:val="18"/>
      </w:rPr>
      <w:t xml:space="preserve"> Vodă, Sect.1, </w:t>
    </w:r>
    <w:r>
      <w:rPr>
        <w:rFonts w:ascii="Arial" w:hAnsi="Arial" w:cs="Arial"/>
        <w:color w:val="000041"/>
        <w:sz w:val="18"/>
        <w:szCs w:val="18"/>
      </w:rPr>
      <w:t xml:space="preserve">Bucuresti</w:t>
    </w:r>
    <w:r>
      <w:rPr>
        <w:rFonts w:ascii="Arial" w:hAnsi="Arial" w:cs="Arial"/>
        <w:color w:val="000041"/>
        <w:sz w:val="18"/>
        <w:szCs w:val="18"/>
      </w:rPr>
    </w:r>
    <w:r>
      <w:rPr>
        <w:rFonts w:ascii="Arial" w:hAnsi="Arial" w:cs="Arial"/>
        <w:color w:val="000041"/>
        <w:sz w:val="18"/>
        <w:szCs w:val="18"/>
      </w:rPr>
    </w:r>
  </w:p>
  <w:p>
    <w:pPr>
      <w:pBdr/>
      <w:tabs>
        <w:tab w:val="left" w:leader="none" w:pos="1530"/>
      </w:tabs>
      <w:spacing/>
      <w:ind w:left="851"/>
      <w:rPr>
        <w:rFonts w:ascii="Arial" w:hAnsi="Arial" w:cs="Arial"/>
        <w:color w:val="000041"/>
        <w:sz w:val="18"/>
        <w:szCs w:val="18"/>
        <w:lang w:val="en-GB"/>
      </w:rPr>
    </w:pPr>
    <w:r>
      <w:rPr>
        <w:rFonts w:ascii="Arial" w:hAnsi="Arial" w:cs="Arial"/>
        <w:color w:val="000041"/>
        <w:sz w:val="18"/>
        <w:szCs w:val="18"/>
      </w:rPr>
      <w:t xml:space="preserve">Tel. 021-3159108,  Fax 021-3181593,  E-mail: </w:t>
    </w:r>
    <w:hyperlink r:id="rId2" w:tooltip="mailto:office@itb.ro" w:history="1">
      <w:r>
        <w:rPr>
          <w:rStyle w:val="1126"/>
          <w:rFonts w:ascii="Arial" w:hAnsi="Arial" w:cs="Arial"/>
          <w:color w:val="000041"/>
          <w:sz w:val="18"/>
          <w:szCs w:val="18"/>
          <w:u w:val="none"/>
        </w:rPr>
        <w:t xml:space="preserve">office@itb.ro</w:t>
      </w:r>
    </w:hyperlink>
    <w:r>
      <w:rPr>
        <w:rFonts w:ascii="Arial" w:hAnsi="Arial" w:cs="Arial"/>
        <w:color w:val="000041"/>
        <w:sz w:val="18"/>
        <w:szCs w:val="18"/>
      </w:rPr>
      <w:t xml:space="preserve">,  www.itb.ro  </w:t>
    </w:r>
    <w:r>
      <w:rPr>
        <w:rFonts w:ascii="Arial" w:hAnsi="Arial" w:cs="Arial"/>
        <w:color w:val="000041"/>
        <w:sz w:val="18"/>
        <w:szCs w:val="18"/>
        <w:lang w:val="en-GB"/>
      </w:rPr>
    </w:r>
    <w:r>
      <w:rPr>
        <w:rFonts w:ascii="Arial" w:hAnsi="Arial" w:cs="Arial"/>
        <w:color w:val="000041"/>
        <w:sz w:val="18"/>
        <w:szCs w:val="18"/>
        <w:lang w:val="en-GB"/>
      </w:rPr>
    </w:r>
  </w:p>
  <w:p>
    <w:pPr>
      <w:pBdr/>
      <w:tabs>
        <w:tab w:val="left" w:leader="none" w:pos="1530"/>
      </w:tabs>
      <w:spacing/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0" locked="0" layoutInCell="1" allowOverlap="1">
              <wp:simplePos x="0" y="0"/>
              <wp:positionH relativeFrom="column">
                <wp:posOffset>-342900</wp:posOffset>
              </wp:positionH>
              <wp:positionV relativeFrom="paragraph">
                <wp:posOffset>72390</wp:posOffset>
              </wp:positionV>
              <wp:extent cx="685800" cy="228600"/>
              <wp:effectExtent l="0" t="0" r="0" b="3810"/>
              <wp:wrapNone/>
              <wp:docPr id="2" name="Dreptunghi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Bdr/>
                            <w:spacing/>
                            <w:ind/>
                            <w:jc w:val="center"/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  <w:t xml:space="preserve">fondat 1921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</w:r>
                        </w:p>
                        <w:p>
                          <w:pPr>
                            <w:pBdr/>
                            <w:spacing/>
                            <w:ind/>
                            <w:jc w:val="center"/>
                            <w:rPr>
                              <w:sz w:val="22"/>
                              <w:szCs w:val="24"/>
                              <w:lang w:val="en-GB"/>
                            </w:rPr>
                          </w:pPr>
                          <w:r>
                            <w:rPr>
                              <w:sz w:val="22"/>
                              <w:szCs w:val="24"/>
                              <w:lang w:val="en-GB"/>
                            </w:rPr>
                          </w:r>
                          <w:r>
                            <w:rPr>
                              <w:sz w:val="22"/>
                              <w:szCs w:val="24"/>
                              <w:lang w:val="en-GB"/>
                            </w:rPr>
                          </w:r>
                          <w:r>
                            <w:rPr>
                              <w:sz w:val="22"/>
                              <w:szCs w:val="24"/>
                              <w:lang w:val="en-GB"/>
                            </w:rPr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1" o:spid="_x0000_s1" o:spt="1" type="#_x0000_t1" style="position:absolute;z-index:251657728;o:allowoverlap:true;o:allowincell:true;mso-position-horizontal-relative:text;margin-left:-27.00pt;mso-position-horizontal:absolute;mso-position-vertical-relative:text;margin-top:5.70pt;mso-position-vertical:absolute;width:54.00pt;height:18.00pt;mso-wrap-distance-left:9.00pt;mso-wrap-distance-top:0.00pt;mso-wrap-distance-right:9.00pt;mso-wrap-distance-bottom:0.00pt;v-text-anchor:top;visibility:visible;" filled="f" stroked="f">
              <v:textbox inset="0,0,0,0">
                <w:txbxContent>
                  <w:p>
                    <w:pPr>
                      <w:pBdr/>
                      <w:spacing/>
                      <w:ind/>
                      <w:jc w:val="center"/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  <w:t xml:space="preserve">fondat 1921</w:t>
                    </w:r>
                    <w:r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</w:r>
                    <w:r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</w:r>
                  </w:p>
                  <w:p>
                    <w:pPr>
                      <w:pBdr/>
                      <w:spacing/>
                      <w:ind/>
                      <w:jc w:val="center"/>
                      <w:rPr>
                        <w:sz w:val="22"/>
                        <w:szCs w:val="24"/>
                        <w:lang w:val="en-GB"/>
                      </w:rPr>
                    </w:pPr>
                    <w:r>
                      <w:rPr>
                        <w:sz w:val="22"/>
                        <w:szCs w:val="24"/>
                        <w:lang w:val="en-GB"/>
                      </w:rPr>
                    </w:r>
                    <w:r>
                      <w:rPr>
                        <w:sz w:val="22"/>
                        <w:szCs w:val="24"/>
                        <w:lang w:val="en-GB"/>
                      </w:rPr>
                    </w:r>
                    <w:r>
                      <w:rPr>
                        <w:sz w:val="22"/>
                        <w:szCs w:val="24"/>
                        <w:lang w:val="en-GB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color w:val="000041"/>
        <w:sz w:val="18"/>
        <w:szCs w:val="18"/>
      </w:rPr>
      <w:t xml:space="preserve">Acreditat prin Legea nr. 139 </w:t>
    </w:r>
    <w:r>
      <w:rPr>
        <w:rFonts w:ascii="Arial" w:hAnsi="Arial" w:cs="Arial"/>
        <w:color w:val="000041"/>
        <w:sz w:val="18"/>
        <w:szCs w:val="18"/>
      </w:rPr>
      <w:t xml:space="preserve">şi</w:t>
    </w:r>
    <w:r>
      <w:rPr>
        <w:rFonts w:ascii="Arial" w:hAnsi="Arial" w:cs="Arial"/>
        <w:color w:val="000041"/>
        <w:sz w:val="18"/>
        <w:szCs w:val="18"/>
      </w:rPr>
      <w:t xml:space="preserve"> Decretul 421, publicate în M.O. partea I, nr. 434/23.05.2005        </w:t>
    </w:r>
    <w:r>
      <w:rPr>
        <w:rFonts w:ascii="Arial" w:hAnsi="Arial" w:cs="Arial"/>
        <w:color w:val="000041"/>
        <w:sz w:val="18"/>
        <w:szCs w:val="18"/>
      </w:rPr>
    </w:r>
    <w:r>
      <w:rPr>
        <w:rFonts w:ascii="Arial" w:hAnsi="Arial" w:cs="Arial"/>
        <w:color w:val="000041"/>
        <w:sz w:val="18"/>
        <w:szCs w:val="18"/>
      </w:rPr>
    </w:r>
  </w:p>
  <w:p>
    <w:pPr>
      <w:pStyle w:val="1129"/>
      <w:pBdr/>
      <w:spacing/>
      <w:ind/>
      <w:rPr/>
    </w:pPr>
    <w:r>
      <w:rPr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6704" behindDoc="0" locked="0" layoutInCell="1" allowOverlap="1">
              <wp:simplePos x="0" y="0"/>
              <wp:positionH relativeFrom="column">
                <wp:posOffset>532765</wp:posOffset>
              </wp:positionH>
              <wp:positionV relativeFrom="paragraph">
                <wp:posOffset>55245</wp:posOffset>
              </wp:positionV>
              <wp:extent cx="5760085" cy="0"/>
              <wp:effectExtent l="18415" t="17145" r="12700" b="11430"/>
              <wp:wrapNone/>
              <wp:docPr id="3" name="Conector drep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576008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41"/>
                        </a:solidFill>
                        <a:round/>
                        <a:headEnd/>
                        <a:tailEnd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hape 2" o:spid="_x0000_s2" style="position:absolute;left:0;text-align:left;z-index:251656704;mso-wrap-distance-left:9.00pt;mso-wrap-distance-top:0.00pt;mso-wrap-distance-right:9.00pt;mso-wrap-distance-bottom:0.00pt;visibility:visible;" from="41.9pt,4.3pt" to="495.5pt,4.3pt" filled="f" strokecolor="#000041" strokeweight="1.50pt"/>
          </w:pict>
        </mc:Fallback>
      </mc:AlternateContent>
    </w:r>
    <w:r/>
  </w:p>
  <w:p>
    <w:pPr>
      <w:pStyle w:val="1129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29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29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left" w:leader="none" w:pos="360"/>
        </w:tabs>
        <w:spacing/>
        <w:ind w:hanging="360" w:left="360"/>
      </w:pPr>
      <w:rPr>
        <w:rFonts w:hint="default"/>
        <w:b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360"/>
      </w:pPr>
      <w:rPr>
        <w:rFonts w:hint="default"/>
      </w:rPr>
      <w:start w:val="2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b/>
        <w:i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"/>
      <w:numFmt w:val="bullet"/>
      <w:pPr>
        <w:pBdr/>
        <w:tabs>
          <w:tab w:val="left" w:leader="none" w:pos="641"/>
        </w:tabs>
        <w:spacing/>
        <w:ind w:hanging="357" w:left="641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left" w:leader="none" w:pos="1440"/>
        </w:tabs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left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left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left" w:leader="none" w:pos="3600"/>
        </w:tabs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left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left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left" w:leader="none" w:pos="5760"/>
        </w:tabs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left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44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6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200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75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7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9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1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3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5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7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9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10"/>
      </w:pPr>
      <w:rPr/>
      <w:start w:val="1"/>
      <w:suff w:val="tab"/>
    </w:lvl>
  </w:abstractNum>
  <w:abstractNum w:abstractNumId="7">
    <w:lvl w:ilvl="0">
      <w:isLgl w:val="false"/>
      <w:lvlJc w:val="left"/>
      <w:lvlText w:val="-"/>
      <w:numFmt w:val="bullet"/>
      <w:pPr>
        <w:pBdr/>
        <w:spacing/>
        <w:ind w:hanging="360" w:left="1110"/>
      </w:pPr>
      <w:rPr>
        <w:rFonts w:hint="default"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3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5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7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9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71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3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5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7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9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eastAsia="Calibri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0">
    <w:lvl w:ilvl="0">
      <w:isLgl w:val="false"/>
      <w:lvlJc w:val="left"/>
      <w:lvlText w:val="%1."/>
      <w:numFmt w:val="upperRoman"/>
      <w:pPr>
        <w:pBdr/>
        <w:spacing/>
        <w:ind w:hanging="72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lvl w:ilvl="0">
      <w:isLgl w:val="false"/>
      <w:lvlJc w:val="left"/>
      <w:lvlText w:val="-"/>
      <w:numFmt w:val="bullet"/>
      <w:pPr>
        <w:pBdr/>
        <w:spacing/>
        <w:ind w:hanging="360" w:left="1110"/>
      </w:pPr>
      <w:rPr>
        <w:rFonts w:hint="default"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3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5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7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9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71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3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5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70"/>
      </w:pPr>
      <w:rPr>
        <w:rFonts w:hint="default" w:ascii="Wingdings" w:hAnsi="Wingdings"/>
      </w:rPr>
      <w:start w:val="1"/>
      <w:suff w:val="tab"/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5"/>
  </w:num>
  <w:num w:numId="5">
    <w:abstractNumId w:val="9"/>
  </w:num>
  <w:num w:numId="6">
    <w:abstractNumId w:val="6"/>
  </w:num>
  <w:num w:numId="7">
    <w:abstractNumId w:val="6"/>
  </w:num>
  <w:num w:numId="8">
    <w:abstractNumId w:val="7"/>
  </w:num>
  <w:num w:numId="9">
    <w:abstractNumId w:val="11"/>
  </w:num>
  <w:num w:numId="10">
    <w:abstractNumId w:val="1"/>
  </w:num>
  <w:num w:numId="11">
    <w:abstractNumId w:val="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432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en-US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84">
    <w:name w:val="Table Grid Light"/>
    <w:basedOn w:val="9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1 Light - Accent 1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1 Light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Grid Table 1 Light - Accent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Grid Table 1 Light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Grid Table 1 Light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Grid Table 2 - Accent 1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Grid Table 2 - Accent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Grid Table 2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Grid Table 2 - Accent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Grid Table 2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Grid Table 2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Grid Table 3 - Accent 1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Grid Table 3 - Accent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Grid Table 3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Grid Table 3 - Accent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Grid Table 3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Grid Table 3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Grid Table 4 - Accent 1"/>
    <w:basedOn w:val="9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4 - Accent 2"/>
    <w:basedOn w:val="9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4 - Accent 3"/>
    <w:basedOn w:val="9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Grid Table 4 - Accent 4"/>
    <w:basedOn w:val="9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Grid Table 4 - Accent 5"/>
    <w:basedOn w:val="9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Grid Table 4 - Accent 6"/>
    <w:basedOn w:val="9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Grid Table 5 Dark - Accent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Grid Table 5 Dark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Grid Table 5 Dark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Grid Table 5 Dark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1 Light - Accent 1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1 Light - Accent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1 Light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1 Light - Accent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1 Light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1 Light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2 - Accent 1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2 - Accent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2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2 - Accent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2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2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3 - Accent 1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3 - Accent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3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3 - Accent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3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3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4 - Accent 1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4 - Accent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4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4 - Accent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4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4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st Table 5 Dark - Accent 1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5 Dark - Accent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5 Dark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st Table 5 Dark - Accent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st Table 5 Dark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st Table 5 Dark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character" w:styleId="942">
    <w:name w:val="Intense Emphasis"/>
    <w:basedOn w:val="96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943">
    <w:name w:val="Intense Reference"/>
    <w:basedOn w:val="96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944">
    <w:name w:val="Subtle Emphasis"/>
    <w:basedOn w:val="96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45">
    <w:name w:val="Emphasis"/>
    <w:basedOn w:val="960"/>
    <w:uiPriority w:val="20"/>
    <w:qFormat/>
    <w:pPr>
      <w:pBdr/>
      <w:spacing/>
      <w:ind/>
    </w:pPr>
    <w:rPr>
      <w:i/>
      <w:iCs/>
    </w:rPr>
  </w:style>
  <w:style w:type="character" w:styleId="946">
    <w:name w:val="Strong"/>
    <w:basedOn w:val="960"/>
    <w:uiPriority w:val="22"/>
    <w:qFormat/>
    <w:pPr>
      <w:pBdr/>
      <w:spacing/>
      <w:ind/>
    </w:pPr>
    <w:rPr>
      <w:b/>
      <w:bCs/>
    </w:rPr>
  </w:style>
  <w:style w:type="character" w:styleId="947">
    <w:name w:val="Subtle Reference"/>
    <w:basedOn w:val="96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48">
    <w:name w:val="Book Title"/>
    <w:basedOn w:val="96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49">
    <w:name w:val="FollowedHyperlink"/>
    <w:basedOn w:val="96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50" w:default="1">
    <w:name w:val="Normal"/>
    <w:qFormat/>
    <w:pPr>
      <w:pBdr/>
      <w:spacing/>
      <w:ind/>
    </w:pPr>
    <w:rPr>
      <w:rFonts w:ascii="Times New Roman" w:hAnsi="Times New Roman" w:eastAsia="Times New Roman"/>
      <w:lang w:val="ro-RO"/>
    </w:rPr>
  </w:style>
  <w:style w:type="paragraph" w:styleId="951">
    <w:name w:val="Heading 1"/>
    <w:basedOn w:val="950"/>
    <w:next w:val="950"/>
    <w:link w:val="1128"/>
    <w:uiPriority w:val="9"/>
    <w:qFormat/>
    <w:pPr>
      <w:keepNext w:val="true"/>
      <w:keepLines w:val="true"/>
      <w:pBdr/>
      <w:spacing w:before="480"/>
      <w:ind/>
      <w:jc w:val="both"/>
      <w:outlineLvl w:val="0"/>
    </w:pPr>
    <w:rPr>
      <w:rFonts w:ascii="Calibri" w:hAnsi="Calibri"/>
      <w:b/>
      <w:bCs/>
      <w:color w:val="000000"/>
      <w:sz w:val="28"/>
      <w:szCs w:val="28"/>
    </w:rPr>
  </w:style>
  <w:style w:type="paragraph" w:styleId="952">
    <w:name w:val="Heading 2"/>
    <w:basedOn w:val="950"/>
    <w:next w:val="950"/>
    <w:link w:val="963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953">
    <w:name w:val="Heading 3"/>
    <w:basedOn w:val="950"/>
    <w:next w:val="950"/>
    <w:link w:val="964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954">
    <w:name w:val="Heading 4"/>
    <w:basedOn w:val="950"/>
    <w:next w:val="950"/>
    <w:link w:val="965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955">
    <w:name w:val="Heading 5"/>
    <w:basedOn w:val="950"/>
    <w:next w:val="950"/>
    <w:link w:val="966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956">
    <w:name w:val="Heading 6"/>
    <w:basedOn w:val="950"/>
    <w:next w:val="950"/>
    <w:link w:val="967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957">
    <w:name w:val="Heading 7"/>
    <w:basedOn w:val="950"/>
    <w:next w:val="950"/>
    <w:link w:val="968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58">
    <w:name w:val="Heading 8"/>
    <w:basedOn w:val="950"/>
    <w:next w:val="950"/>
    <w:link w:val="969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59">
    <w:name w:val="Heading 9"/>
    <w:basedOn w:val="950"/>
    <w:next w:val="950"/>
    <w:link w:val="97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960" w:default="1">
    <w:name w:val="Default Paragraph Font"/>
    <w:uiPriority w:val="1"/>
    <w:semiHidden/>
    <w:unhideWhenUsed/>
    <w:pPr>
      <w:pBdr/>
      <w:spacing/>
      <w:ind/>
    </w:pPr>
  </w:style>
  <w:style w:type="table" w:styleId="96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62" w:default="1">
    <w:name w:val="No List"/>
    <w:uiPriority w:val="99"/>
    <w:semiHidden/>
    <w:unhideWhenUsed/>
    <w:pPr>
      <w:pBdr/>
      <w:spacing/>
      <w:ind/>
    </w:pPr>
  </w:style>
  <w:style w:type="character" w:styleId="963" w:customStyle="1">
    <w:name w:val="Heading 2 Char"/>
    <w:basedOn w:val="960"/>
    <w:link w:val="952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964" w:customStyle="1">
    <w:name w:val="Heading 3 Char"/>
    <w:basedOn w:val="960"/>
    <w:link w:val="953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965" w:customStyle="1">
    <w:name w:val="Heading 4 Char"/>
    <w:basedOn w:val="960"/>
    <w:link w:val="954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966" w:customStyle="1">
    <w:name w:val="Heading 5 Char"/>
    <w:basedOn w:val="960"/>
    <w:link w:val="955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967" w:customStyle="1">
    <w:name w:val="Heading 6 Char"/>
    <w:basedOn w:val="960"/>
    <w:link w:val="956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968" w:customStyle="1">
    <w:name w:val="Heading 7 Char"/>
    <w:basedOn w:val="960"/>
    <w:link w:val="957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969" w:customStyle="1">
    <w:name w:val="Heading 8 Char"/>
    <w:basedOn w:val="960"/>
    <w:link w:val="958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970" w:customStyle="1">
    <w:name w:val="Heading 9 Char"/>
    <w:basedOn w:val="960"/>
    <w:link w:val="95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971">
    <w:name w:val="No Spacing"/>
    <w:uiPriority w:val="1"/>
    <w:qFormat/>
    <w:pPr>
      <w:pBdr/>
      <w:spacing/>
      <w:ind/>
    </w:pPr>
  </w:style>
  <w:style w:type="paragraph" w:styleId="972">
    <w:name w:val="Title"/>
    <w:basedOn w:val="950"/>
    <w:next w:val="950"/>
    <w:link w:val="973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973" w:customStyle="1">
    <w:name w:val="Title Char"/>
    <w:basedOn w:val="960"/>
    <w:link w:val="972"/>
    <w:uiPriority w:val="10"/>
    <w:pPr>
      <w:pBdr/>
      <w:spacing/>
      <w:ind/>
    </w:pPr>
    <w:rPr>
      <w:sz w:val="48"/>
      <w:szCs w:val="48"/>
    </w:rPr>
  </w:style>
  <w:style w:type="paragraph" w:styleId="974">
    <w:name w:val="Subtitle"/>
    <w:basedOn w:val="950"/>
    <w:next w:val="950"/>
    <w:link w:val="975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975" w:customStyle="1">
    <w:name w:val="Subtitle Char"/>
    <w:basedOn w:val="960"/>
    <w:link w:val="974"/>
    <w:uiPriority w:val="11"/>
    <w:pPr>
      <w:pBdr/>
      <w:spacing/>
      <w:ind/>
    </w:pPr>
    <w:rPr>
      <w:sz w:val="24"/>
      <w:szCs w:val="24"/>
    </w:rPr>
  </w:style>
  <w:style w:type="paragraph" w:styleId="976">
    <w:name w:val="Quote"/>
    <w:basedOn w:val="950"/>
    <w:next w:val="950"/>
    <w:link w:val="977"/>
    <w:uiPriority w:val="29"/>
    <w:qFormat/>
    <w:pPr>
      <w:pBdr/>
      <w:spacing/>
      <w:ind w:right="720" w:left="720"/>
    </w:pPr>
    <w:rPr>
      <w:i/>
    </w:rPr>
  </w:style>
  <w:style w:type="character" w:styleId="977" w:customStyle="1">
    <w:name w:val="Quote Char"/>
    <w:link w:val="976"/>
    <w:uiPriority w:val="29"/>
    <w:pPr>
      <w:pBdr/>
      <w:spacing/>
      <w:ind/>
    </w:pPr>
    <w:rPr>
      <w:i/>
    </w:rPr>
  </w:style>
  <w:style w:type="paragraph" w:styleId="978">
    <w:name w:val="Intense Quote"/>
    <w:basedOn w:val="950"/>
    <w:next w:val="950"/>
    <w:link w:val="97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979" w:customStyle="1">
    <w:name w:val="Intense Quote Char"/>
    <w:link w:val="978"/>
    <w:uiPriority w:val="30"/>
    <w:pPr>
      <w:pBdr/>
      <w:spacing/>
      <w:ind/>
    </w:pPr>
    <w:rPr>
      <w:i/>
    </w:rPr>
  </w:style>
  <w:style w:type="paragraph" w:styleId="980">
    <w:name w:val="Caption"/>
    <w:basedOn w:val="950"/>
    <w:next w:val="950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981" w:customStyle="1">
    <w:name w:val="Caption Char"/>
    <w:uiPriority w:val="99"/>
    <w:pPr>
      <w:pBdr/>
      <w:spacing/>
      <w:ind/>
    </w:pPr>
  </w:style>
  <w:style w:type="table" w:styleId="982">
    <w:name w:val="Table Grid"/>
    <w:basedOn w:val="961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Grid Table Light"/>
    <w:basedOn w:val="96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Plain Table 1"/>
    <w:basedOn w:val="96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Plain Table 2"/>
    <w:basedOn w:val="961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Plain Table 3"/>
    <w:basedOn w:val="96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Plain Table 4"/>
    <w:basedOn w:val="96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Plain Table 5"/>
    <w:basedOn w:val="96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Grid Table 1 Light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Grid Table 1 Light Accent 1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 w:customStyle="1">
    <w:name w:val="Grid Table 1 Light - Accent 2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Grid Table 1 Light Accent 3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Grid Table 1 Light Accent 4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Grid Table 1 Light Accent 5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Grid Table 1 Light Accent 6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Grid Table 2"/>
    <w:basedOn w:val="961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Grid Table 2 Accent 1"/>
    <w:basedOn w:val="961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Grid Table 2 Accent 2"/>
    <w:basedOn w:val="961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Grid Table 2 Accent 3"/>
    <w:basedOn w:val="961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Grid Table 2 Accent 4"/>
    <w:basedOn w:val="961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Grid Table 2 Accent 5"/>
    <w:basedOn w:val="961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Grid Table 2 Accent 6"/>
    <w:basedOn w:val="961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Grid Table 3"/>
    <w:basedOn w:val="961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Grid Table 3 Accent 1"/>
    <w:basedOn w:val="961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Grid Table 3 Accent 2"/>
    <w:basedOn w:val="961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Grid Table 3 Accent 3"/>
    <w:basedOn w:val="961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Grid Table 3 Accent 4"/>
    <w:basedOn w:val="961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Grid Table 3 Accent 5"/>
    <w:basedOn w:val="961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Grid Table 3 Accent 6"/>
    <w:basedOn w:val="961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Grid Table 4"/>
    <w:basedOn w:val="961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Grid Table 4 Accent 1"/>
    <w:basedOn w:val="961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Grid Table 4 Accent 2"/>
    <w:basedOn w:val="961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Grid Table 4 Accent 3"/>
    <w:basedOn w:val="961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Grid Table 4 Accent 4"/>
    <w:basedOn w:val="961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Grid Table 4 Accent 5"/>
    <w:basedOn w:val="961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Grid Table 4 Accent 6"/>
    <w:basedOn w:val="961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Grid Table 5 Dark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 w:customStyle="1">
    <w:name w:val="Grid Table 5 Dark- Accent 1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Grid Table 5 Dark Accent 2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Grid Table 5 Dark Accent 3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 w:customStyle="1">
    <w:name w:val="Grid Table 5 Dark- Accent 4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Grid Table 5 Dark Accent 5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Grid Table 5 Dark Accent 6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Grid Table 6 Colorful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 w:customStyle="1">
    <w:name w:val="Grid Table 6 Colorful - Accent 1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 w:customStyle="1">
    <w:name w:val="Grid Table 6 Colorful - Accent 2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 w:customStyle="1">
    <w:name w:val="Grid Table 6 Colorful - Accent 3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 w:customStyle="1">
    <w:name w:val="Grid Table 6 Colorful - Accent 4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 w:customStyle="1">
    <w:name w:val="Grid Table 6 Colorful - Accent 5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 w:customStyle="1">
    <w:name w:val="Grid Table 6 Colorful - Accent 6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Grid Table 7 Colorful"/>
    <w:basedOn w:val="961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 w:customStyle="1">
    <w:name w:val="Grid Table 7 Colorful - Accent 1"/>
    <w:basedOn w:val="961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 w:customStyle="1">
    <w:name w:val="Grid Table 7 Colorful - Accent 2"/>
    <w:basedOn w:val="961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 w:customStyle="1">
    <w:name w:val="Grid Table 7 Colorful - Accent 3"/>
    <w:basedOn w:val="961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 w:customStyle="1">
    <w:name w:val="Grid Table 7 Colorful - Accent 4"/>
    <w:basedOn w:val="961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 w:customStyle="1">
    <w:name w:val="Grid Table 7 Colorful - Accent 5"/>
    <w:basedOn w:val="961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 w:customStyle="1">
    <w:name w:val="Grid Table 7 Colorful - Accent 6"/>
    <w:basedOn w:val="961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>
    <w:name w:val="List Table 1 Light"/>
    <w:basedOn w:val="96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>
    <w:name w:val="List Table 1 Light Accent 1"/>
    <w:basedOn w:val="96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>
    <w:name w:val="List Table 1 Light Accent 2"/>
    <w:basedOn w:val="96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>
    <w:name w:val="List Table 1 Light Accent 3"/>
    <w:basedOn w:val="96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>
    <w:name w:val="List Table 1 Light Accent 4"/>
    <w:basedOn w:val="96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List Table 1 Light Accent 5"/>
    <w:basedOn w:val="96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List Table 1 Light Accent 6"/>
    <w:basedOn w:val="96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List Table 2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List Table 2 Accent 1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>
    <w:name w:val="List Table 2 Accent 2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>
    <w:name w:val="List Table 2 Accent 3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>
    <w:name w:val="List Table 2 Accent 4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>
    <w:name w:val="List Table 2 Accent 5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>
    <w:name w:val="List Table 2 Accent 6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>
    <w:name w:val="List Table 3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>
    <w:name w:val="List Table 3 Accent 1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>
    <w:name w:val="List Table 3 Accent 2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>
    <w:name w:val="List Table 3 Accent 3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>
    <w:name w:val="List Table 3 Accent 4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>
    <w:name w:val="List Table 3 Accent 5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>
    <w:name w:val="List Table 3 Accent 6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>
    <w:name w:val="List Table 4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>
    <w:name w:val="List Table 4 Accent 1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>
    <w:name w:val="List Table 4 Accent 2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>
    <w:name w:val="List Table 4 Accent 3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>
    <w:name w:val="List Table 4 Accent 4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>
    <w:name w:val="List Table 4 Accent 5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>
    <w:name w:val="List Table 4 Accent 6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6">
    <w:name w:val="List Table 5 Dark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7">
    <w:name w:val="List Table 5 Dark Accent 1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8">
    <w:name w:val="List Table 5 Dark Accent 2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9">
    <w:name w:val="List Table 5 Dark Accent 3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0">
    <w:name w:val="List Table 5 Dark Accent 4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1">
    <w:name w:val="List Table 5 Dark Accent 5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2">
    <w:name w:val="List Table 5 Dark Accent 6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>
    <w:name w:val="List Table 6 Colorful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4" w:customStyle="1">
    <w:name w:val="List Table 6 Colorful - Accent 1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5" w:customStyle="1">
    <w:name w:val="List Table 6 Colorful - Accent 2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6" w:customStyle="1">
    <w:name w:val="List Table 6 Colorful - Accent 3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7" w:customStyle="1">
    <w:name w:val="List Table 6 Colorful - Accent 4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8" w:customStyle="1">
    <w:name w:val="List Table 6 Colorful - Accent 5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9" w:customStyle="1">
    <w:name w:val="List Table 6 Colorful - Accent 6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0">
    <w:name w:val="List Table 7 Colorful"/>
    <w:basedOn w:val="961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1" w:customStyle="1">
    <w:name w:val="List Table 7 Colorful - Accent 1"/>
    <w:basedOn w:val="961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2" w:customStyle="1">
    <w:name w:val="List Table 7 Colorful - Accent 2"/>
    <w:basedOn w:val="961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3" w:customStyle="1">
    <w:name w:val="List Table 7 Colorful - Accent 3"/>
    <w:basedOn w:val="961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4" w:customStyle="1">
    <w:name w:val="List Table 7 Colorful - Accent 4"/>
    <w:basedOn w:val="961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5" w:customStyle="1">
    <w:name w:val="List Table 7 Colorful - Accent 5"/>
    <w:basedOn w:val="961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6" w:customStyle="1">
    <w:name w:val="List Table 7 Colorful - Accent 6"/>
    <w:basedOn w:val="961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7" w:customStyle="1">
    <w:name w:val="Lined - Accent"/>
    <w:basedOn w:val="961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8" w:customStyle="1">
    <w:name w:val="Lined - Accent 1"/>
    <w:basedOn w:val="961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9" w:customStyle="1">
    <w:name w:val="Lined - Accent 2"/>
    <w:basedOn w:val="961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0" w:customStyle="1">
    <w:name w:val="Lined - Accent 3"/>
    <w:basedOn w:val="961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1" w:customStyle="1">
    <w:name w:val="Lined - Accent 4"/>
    <w:basedOn w:val="961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2" w:customStyle="1">
    <w:name w:val="Lined - Accent 5"/>
    <w:basedOn w:val="961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3" w:customStyle="1">
    <w:name w:val="Lined - Accent 6"/>
    <w:basedOn w:val="961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4" w:customStyle="1">
    <w:name w:val="Bordered &amp; Lined - Accent"/>
    <w:basedOn w:val="961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5" w:customStyle="1">
    <w:name w:val="Bordered &amp; Lined - Accent 1"/>
    <w:basedOn w:val="961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6" w:customStyle="1">
    <w:name w:val="Bordered &amp; Lined - Accent 2"/>
    <w:basedOn w:val="961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7" w:customStyle="1">
    <w:name w:val="Bordered &amp; Lined - Accent 3"/>
    <w:basedOn w:val="961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8" w:customStyle="1">
    <w:name w:val="Bordered &amp; Lined - Accent 4"/>
    <w:basedOn w:val="961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9" w:customStyle="1">
    <w:name w:val="Bordered &amp; Lined - Accent 5"/>
    <w:basedOn w:val="961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0" w:customStyle="1">
    <w:name w:val="Bordered &amp; Lined - Accent 6"/>
    <w:basedOn w:val="961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1" w:customStyle="1">
    <w:name w:val="Bordered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2" w:customStyle="1">
    <w:name w:val="Bordered - Accent 1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3" w:customStyle="1">
    <w:name w:val="Bordered - Accent 2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4" w:customStyle="1">
    <w:name w:val="Bordered - Accent 3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5" w:customStyle="1">
    <w:name w:val="Bordered - Accent 4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6" w:customStyle="1">
    <w:name w:val="Bordered - Accent 5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7" w:customStyle="1">
    <w:name w:val="Bordered - Accent 6"/>
    <w:basedOn w:val="961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108">
    <w:name w:val="footnote text"/>
    <w:basedOn w:val="950"/>
    <w:link w:val="1109"/>
    <w:uiPriority w:val="99"/>
    <w:semiHidden/>
    <w:unhideWhenUsed/>
    <w:pPr>
      <w:pBdr/>
      <w:spacing w:after="40"/>
      <w:ind/>
    </w:pPr>
    <w:rPr>
      <w:sz w:val="18"/>
    </w:rPr>
  </w:style>
  <w:style w:type="character" w:styleId="1109" w:customStyle="1">
    <w:name w:val="Footnote Text Char"/>
    <w:link w:val="1108"/>
    <w:uiPriority w:val="99"/>
    <w:pPr>
      <w:pBdr/>
      <w:spacing/>
      <w:ind/>
    </w:pPr>
    <w:rPr>
      <w:sz w:val="18"/>
    </w:rPr>
  </w:style>
  <w:style w:type="character" w:styleId="1110">
    <w:name w:val="footnote reference"/>
    <w:basedOn w:val="960"/>
    <w:uiPriority w:val="99"/>
    <w:unhideWhenUsed/>
    <w:pPr>
      <w:pBdr/>
      <w:spacing/>
      <w:ind/>
    </w:pPr>
    <w:rPr>
      <w:vertAlign w:val="superscript"/>
    </w:rPr>
  </w:style>
  <w:style w:type="paragraph" w:styleId="1111">
    <w:name w:val="endnote text"/>
    <w:basedOn w:val="950"/>
    <w:link w:val="1112"/>
    <w:uiPriority w:val="99"/>
    <w:semiHidden/>
    <w:unhideWhenUsed/>
    <w:pPr>
      <w:pBdr/>
      <w:spacing/>
      <w:ind/>
    </w:pPr>
  </w:style>
  <w:style w:type="character" w:styleId="1112" w:customStyle="1">
    <w:name w:val="Endnote Text Char"/>
    <w:link w:val="1111"/>
    <w:uiPriority w:val="99"/>
    <w:pPr>
      <w:pBdr/>
      <w:spacing/>
      <w:ind/>
    </w:pPr>
    <w:rPr>
      <w:sz w:val="20"/>
    </w:rPr>
  </w:style>
  <w:style w:type="character" w:styleId="1113">
    <w:name w:val="endnote reference"/>
    <w:basedOn w:val="960"/>
    <w:uiPriority w:val="99"/>
    <w:semiHidden/>
    <w:unhideWhenUsed/>
    <w:pPr>
      <w:pBdr/>
      <w:spacing/>
      <w:ind/>
    </w:pPr>
    <w:rPr>
      <w:vertAlign w:val="superscript"/>
    </w:rPr>
  </w:style>
  <w:style w:type="paragraph" w:styleId="1114">
    <w:name w:val="toc 1"/>
    <w:basedOn w:val="950"/>
    <w:next w:val="950"/>
    <w:uiPriority w:val="39"/>
    <w:unhideWhenUsed/>
    <w:pPr>
      <w:pBdr/>
      <w:spacing w:after="57"/>
      <w:ind/>
    </w:pPr>
  </w:style>
  <w:style w:type="paragraph" w:styleId="1115">
    <w:name w:val="toc 2"/>
    <w:basedOn w:val="950"/>
    <w:next w:val="950"/>
    <w:uiPriority w:val="39"/>
    <w:unhideWhenUsed/>
    <w:pPr>
      <w:pBdr/>
      <w:spacing w:after="57"/>
      <w:ind w:left="283"/>
    </w:pPr>
  </w:style>
  <w:style w:type="paragraph" w:styleId="1116">
    <w:name w:val="toc 3"/>
    <w:basedOn w:val="950"/>
    <w:next w:val="950"/>
    <w:uiPriority w:val="39"/>
    <w:unhideWhenUsed/>
    <w:pPr>
      <w:pBdr/>
      <w:spacing w:after="57"/>
      <w:ind w:left="567"/>
    </w:pPr>
  </w:style>
  <w:style w:type="paragraph" w:styleId="1117">
    <w:name w:val="toc 4"/>
    <w:basedOn w:val="950"/>
    <w:next w:val="950"/>
    <w:uiPriority w:val="39"/>
    <w:unhideWhenUsed/>
    <w:pPr>
      <w:pBdr/>
      <w:spacing w:after="57"/>
      <w:ind w:left="850"/>
    </w:pPr>
  </w:style>
  <w:style w:type="paragraph" w:styleId="1118">
    <w:name w:val="toc 5"/>
    <w:basedOn w:val="950"/>
    <w:next w:val="950"/>
    <w:uiPriority w:val="39"/>
    <w:unhideWhenUsed/>
    <w:pPr>
      <w:pBdr/>
      <w:spacing w:after="57"/>
      <w:ind w:left="1134"/>
    </w:pPr>
  </w:style>
  <w:style w:type="paragraph" w:styleId="1119">
    <w:name w:val="toc 6"/>
    <w:basedOn w:val="950"/>
    <w:next w:val="950"/>
    <w:uiPriority w:val="39"/>
    <w:unhideWhenUsed/>
    <w:pPr>
      <w:pBdr/>
      <w:spacing w:after="57"/>
      <w:ind w:left="1417"/>
    </w:pPr>
  </w:style>
  <w:style w:type="paragraph" w:styleId="1120">
    <w:name w:val="toc 7"/>
    <w:basedOn w:val="950"/>
    <w:next w:val="950"/>
    <w:uiPriority w:val="39"/>
    <w:unhideWhenUsed/>
    <w:pPr>
      <w:pBdr/>
      <w:spacing w:after="57"/>
      <w:ind w:left="1701"/>
    </w:pPr>
  </w:style>
  <w:style w:type="paragraph" w:styleId="1121">
    <w:name w:val="toc 8"/>
    <w:basedOn w:val="950"/>
    <w:next w:val="950"/>
    <w:uiPriority w:val="39"/>
    <w:unhideWhenUsed/>
    <w:pPr>
      <w:pBdr/>
      <w:spacing w:after="57"/>
      <w:ind w:left="1984"/>
    </w:pPr>
  </w:style>
  <w:style w:type="paragraph" w:styleId="1122">
    <w:name w:val="toc 9"/>
    <w:basedOn w:val="950"/>
    <w:next w:val="950"/>
    <w:uiPriority w:val="39"/>
    <w:unhideWhenUsed/>
    <w:pPr>
      <w:pBdr/>
      <w:spacing w:after="57"/>
      <w:ind w:left="2268"/>
    </w:pPr>
  </w:style>
  <w:style w:type="paragraph" w:styleId="1123">
    <w:name w:val="TOC Heading"/>
    <w:uiPriority w:val="39"/>
    <w:unhideWhenUsed/>
    <w:pPr>
      <w:pBdr/>
      <w:spacing/>
      <w:ind/>
    </w:pPr>
  </w:style>
  <w:style w:type="paragraph" w:styleId="1124">
    <w:name w:val="table of figures"/>
    <w:basedOn w:val="950"/>
    <w:next w:val="950"/>
    <w:uiPriority w:val="99"/>
    <w:unhideWhenUsed/>
    <w:pPr>
      <w:pBdr/>
      <w:spacing/>
      <w:ind/>
    </w:pPr>
  </w:style>
  <w:style w:type="paragraph" w:styleId="1125">
    <w:name w:val="List Paragraph"/>
    <w:basedOn w:val="950"/>
    <w:uiPriority w:val="34"/>
    <w:qFormat/>
    <w:pPr>
      <w:pBdr/>
      <w:spacing/>
      <w:ind w:left="720"/>
      <w:contextualSpacing w:val="true"/>
    </w:pPr>
  </w:style>
  <w:style w:type="character" w:styleId="1126">
    <w:name w:val="Hyperlink"/>
    <w:uiPriority w:val="99"/>
    <w:unhideWhenUsed/>
    <w:pPr>
      <w:pBdr/>
      <w:spacing/>
      <w:ind/>
    </w:pPr>
    <w:rPr>
      <w:color w:val="0000ff"/>
      <w:u w:val="single"/>
    </w:rPr>
  </w:style>
  <w:style w:type="character" w:styleId="1127" w:customStyle="1">
    <w:name w:val="apple-style-span"/>
    <w:basedOn w:val="960"/>
    <w:pPr>
      <w:pBdr/>
      <w:spacing/>
      <w:ind/>
    </w:pPr>
  </w:style>
  <w:style w:type="character" w:styleId="1128" w:customStyle="1">
    <w:name w:val="Heading 1 Char"/>
    <w:link w:val="951"/>
    <w:uiPriority w:val="9"/>
    <w:pPr>
      <w:pBdr/>
      <w:spacing/>
      <w:ind/>
    </w:pPr>
    <w:rPr>
      <w:rFonts w:eastAsia="Times New Roman" w:cs="Times New Roman"/>
      <w:b/>
      <w:bCs/>
      <w:color w:val="000000"/>
      <w:sz w:val="28"/>
      <w:szCs w:val="28"/>
      <w:lang w:val="ro-RO"/>
    </w:rPr>
  </w:style>
  <w:style w:type="paragraph" w:styleId="1129">
    <w:name w:val="Header"/>
    <w:basedOn w:val="950"/>
    <w:link w:val="1130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1130" w:customStyle="1">
    <w:name w:val="Header Char"/>
    <w:link w:val="1129"/>
    <w:uiPriority w:val="99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val="ro-RO"/>
    </w:rPr>
  </w:style>
  <w:style w:type="paragraph" w:styleId="1131">
    <w:name w:val="Footer"/>
    <w:basedOn w:val="950"/>
    <w:link w:val="1132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1132" w:customStyle="1">
    <w:name w:val="Footer Char"/>
    <w:link w:val="1131"/>
    <w:uiPriority w:val="99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val="ro-RO"/>
    </w:rPr>
  </w:style>
  <w:style w:type="paragraph" w:styleId="1133">
    <w:name w:val="Balloon Text"/>
    <w:basedOn w:val="950"/>
    <w:link w:val="1134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1134" w:customStyle="1">
    <w:name w:val="Balloon Text Char"/>
    <w:link w:val="1133"/>
    <w:uiPriority w:val="99"/>
    <w:semiHidden/>
    <w:pPr>
      <w:pBdr/>
      <w:spacing/>
      <w:ind/>
    </w:pPr>
    <w:rPr>
      <w:rFonts w:ascii="Tahoma" w:hAnsi="Tahoma" w:eastAsia="Times New Roman" w:cs="Tahoma"/>
      <w:sz w:val="16"/>
      <w:szCs w:val="16"/>
      <w:lang w:val="ro-RO"/>
    </w:rPr>
  </w:style>
  <w:style w:type="paragraph" w:styleId="1135" w:customStyle="1">
    <w:name w:val="Default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rFonts w:ascii="Arial" w:hAnsi="Arial" w:eastAsia="Times New Roman" w:cs="Arial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hyperlink" Target="https://www.librariamaranatha.ro/catalogsearch/advanced/result/?autor=Ruth+Chou+Simons" TargetMode="External"/><Relationship Id="rId17" Type="http://schemas.openxmlformats.org/officeDocument/2006/relationships/hyperlink" Target="https://www.ecasacartii.ro/produse/filter/autor/h-norman-wright.html" TargetMode="External"/><Relationship Id="rId18" Type="http://schemas.openxmlformats.org/officeDocument/2006/relationships/image" Target="media/image2.png"/><Relationship Id="rId19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office@itb.ro" TargetMode="External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AECDA3-BEB7-4A0D-840A-C97DDDB82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ONLYOFFICE/8.2.1.38</Application>
  <DocSecurity>0</DocSecurity>
  <ScaleCrop>0</ScaleCrop>
  <HeadingPairs>
    <vt:vector size="0" baseType="variant"/>
  </HeadingPairs>
  <TitlesOfParts>
    <vt:vector size="0" baseType="lpstr"/>
  </TitlesOfParts>
  <Company>Microsoft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revision>6</cp:revision>
  <dcterms:created xsi:type="dcterms:W3CDTF">2024-06-25T08:06:00Z</dcterms:created>
  <dcterms:modified xsi:type="dcterms:W3CDTF">2024-11-23T01:33:58Z</dcterms:modified>
</cp:coreProperties>
</file>