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713"/>
        <w:pBdr/>
        <w:spacing/>
        <w:ind w:firstLine="0"/>
        <w:rPr>
          <w:rFonts w:ascii="Gentium" w:hAnsi="Gentium" w:cs="Gentium"/>
          <w:sz w:val="24"/>
          <w:szCs w:val="24"/>
        </w:rPr>
      </w:pPr>
      <w:r>
        <w:rPr>
          <w:rFonts w:ascii="Gentium" w:hAnsi="Gentium" w:eastAsia="Gentium" w:cs="Gentium"/>
          <w:sz w:val="24"/>
          <w:szCs w:val="24"/>
        </w:rPr>
      </w:r>
      <w:bookmarkStart w:id="48" w:name="_Toc252991852"/>
      <w:r>
        <w:rPr>
          <w:rFonts w:ascii="Gentium" w:hAnsi="Gentium" w:eastAsia="Gentium" w:cs="Gentium"/>
          <w:sz w:val="24"/>
          <w:szCs w:val="24"/>
        </w:rPr>
        <w:t xml:space="preserve">Curs</w:t>
      </w:r>
      <w:r>
        <w:rPr>
          <w:rFonts w:ascii="Gentium" w:hAnsi="Gentium" w:eastAsia="Gentium" w:cs="Gentium"/>
          <w:sz w:val="24"/>
          <w:szCs w:val="24"/>
        </w:rPr>
        <w:t xml:space="preserve"> </w:t>
      </w:r>
      <w:r>
        <w:rPr>
          <w:rFonts w:ascii="Gentium" w:hAnsi="Gentium" w:eastAsia="Gentium" w:cs="Gentium"/>
          <w:sz w:val="24"/>
          <w:szCs w:val="24"/>
          <w:lang w:val="en-US"/>
        </w:rPr>
        <w:t xml:space="preserve">8</w:t>
      </w:r>
      <w:r>
        <w:rPr>
          <w:rFonts w:ascii="Gentium" w:hAnsi="Gentium" w:eastAsia="Gentium" w:cs="Gentium"/>
          <w:sz w:val="24"/>
          <w:szCs w:val="24"/>
        </w:rPr>
        <w:t xml:space="preserve">. Teolo</w:t>
      </w:r>
      <w:r>
        <w:rPr>
          <w:rFonts w:ascii="Gentium" w:hAnsi="Gentium" w:eastAsia="Gentium" w:cs="Gentium"/>
          <w:sz w:val="24"/>
          <w:szCs w:val="24"/>
        </w:rPr>
        <w:t xml:space="preserve">gia NT şi politicile culturale (I)</w:t>
      </w:r>
      <w:bookmarkEnd w:id="48"/>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R</w:t>
      </w:r>
      <w:r>
        <w:rPr>
          <w:rFonts w:ascii="Gentium" w:hAnsi="Gentium" w:eastAsia="Gentium" w:cs="Gentium"/>
          <w:sz w:val="24"/>
          <w:szCs w:val="24"/>
        </w:rPr>
        <w:t xml:space="preserve">egimul străinilor în Iudeea; influenţe externe: ideologie şi </w:t>
      </w:r>
      <w:r>
        <w:rPr>
          <w:rFonts w:ascii="Gentium" w:hAnsi="Gentium" w:eastAsia="Gentium" w:cs="Gentium"/>
          <w:sz w:val="24"/>
          <w:szCs w:val="24"/>
        </w:rPr>
        <w:t xml:space="preserve">imperiu</w:t>
      </w:r>
      <w:r>
        <w:rPr>
          <w:rFonts w:ascii="Gentium" w:hAnsi="Gentium" w:eastAsia="Gentium" w:cs="Gentium"/>
          <w:sz w:val="24"/>
          <w:szCs w:val="24"/>
        </w:rPr>
        <w:t xml:space="preserve">; teologia</w:t>
      </w:r>
      <w:r>
        <w:rPr>
          <w:rFonts w:ascii="Gentium" w:hAnsi="Gentium" w:eastAsia="Gentium" w:cs="Gentium"/>
          <w:sz w:val="24"/>
          <w:szCs w:val="24"/>
        </w:rPr>
        <w:t xml:space="preserve">, literatură şi colecţia reprezentativă a </w:t>
      </w:r>
      <w:r>
        <w:rPr>
          <w:rFonts w:ascii="Gentium" w:hAnsi="Gentium" w:eastAsia="Gentium" w:cs="Gentium"/>
          <w:sz w:val="24"/>
          <w:szCs w:val="24"/>
        </w:rPr>
        <w:t xml:space="preserve">Septuagintei;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Problematica străinilor şi cultura; locuri comune în cultură greco-romană şi deosebiri; imagini mesianice greco-romane; Septuaginta şi nuvela, literatura şi politica; lumea simbolurilor politice şi ideologia.</w:t>
      </w:r>
      <w:r>
        <w:rPr>
          <w:rFonts w:ascii="Gentium" w:hAnsi="Gentium" w:eastAsia="Gentium" w:cs="Gentium"/>
          <w:bCs/>
          <w:sz w:val="24"/>
          <w:szCs w:val="24"/>
        </w:rPr>
      </w:r>
      <w:r>
        <w:rPr>
          <w:rFonts w:ascii="Gentium" w:hAnsi="Gentium" w:cs="Gentium"/>
          <w:bCs/>
          <w:sz w:val="24"/>
          <w:szCs w:val="24"/>
        </w:rPr>
      </w:r>
    </w:p>
    <w:p>
      <w:pPr>
        <w:pStyle w:val="1711"/>
        <w:pBdr/>
        <w:spacing/>
        <w:ind/>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8</w:t>
      </w:r>
      <w:bookmarkStart w:id="49" w:name="_Toc252991853"/>
      <w:r>
        <w:rPr>
          <w:rFonts w:ascii="Gentium" w:hAnsi="Gentium" w:eastAsia="Gentium" w:cs="Gentium"/>
          <w:sz w:val="24"/>
          <w:szCs w:val="24"/>
          <w:lang w:val="ro-RO"/>
        </w:rPr>
        <w:t xml:space="preserve">.1 </w:t>
      </w:r>
      <w:r>
        <w:rPr>
          <w:rFonts w:ascii="Gentium" w:hAnsi="Gentium" w:eastAsia="Gentium" w:cs="Gentium"/>
          <w:sz w:val="24"/>
          <w:szCs w:val="24"/>
          <w:lang w:val="ro-RO"/>
        </w:rPr>
        <w:t xml:space="preserve">Perspective teologice şi educaţionale</w:t>
      </w:r>
      <w:bookmarkEnd w:id="49"/>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Noul Testament se dezvoltă într-un spaţiu elenist. Unul din exemplele clare este influenţa lui Philo. Philo este un gânditor evreu car</w:t>
      </w:r>
      <w:r>
        <w:rPr>
          <w:rFonts w:ascii="Gentium" w:hAnsi="Gentium" w:eastAsia="Gentium" w:cs="Gentium"/>
          <w:bCs/>
          <w:sz w:val="24"/>
          <w:szCs w:val="24"/>
        </w:rPr>
        <w:t xml:space="preserve">e trăieşte chiar în timpul NT. Concepţiile sale sunt influenţate mult de gândirea lui Platon. El gândeşte în termeni elenişti temele vechi testamentare, creaţia, legislaţia ideală, politica. Ele are un limbaj apropiat de cel al lui Ioan (logosul, stilul). </w:t>
      </w:r>
      <w:r>
        <w:rPr>
          <w:rFonts w:ascii="Gentium" w:hAnsi="Gentium" w:eastAsia="Gentium" w:cs="Gentium"/>
          <w:bCs/>
          <w:sz w:val="24"/>
          <w:szCs w:val="24"/>
        </w:rPr>
        <w:t xml:space="preserve">El apără ideea influenţei evreieşti asupra culturii sau a echivalenţei culturii evreieşti cu marea cultură greacă</w:t>
      </w:r>
      <w:r>
        <w:rPr>
          <w:rFonts w:ascii="Gentium" w:hAnsi="Gentium" w:eastAsia="Gentium" w:cs="Gentium"/>
          <w:bCs/>
          <w:sz w:val="24"/>
          <w:szCs w:val="24"/>
        </w:rPr>
        <w:t xml:space="preserve">, a lui Moise ca legislator şi filosof, cu Platon.</w:t>
      </w:r>
      <w:r>
        <w:rPr>
          <w:rFonts w:ascii="Gentium" w:hAnsi="Gentium" w:eastAsia="Gentium" w:cs="Gentium"/>
          <w:bCs/>
          <w:sz w:val="24"/>
          <w:szCs w:val="24"/>
        </w:rPr>
        <w:t xml:space="preserve"> Ideea a fost preluată de părinţii Bisericii în secolele 2-4.</w:t>
      </w:r>
      <w:r>
        <w:rPr>
          <w:rFonts w:ascii="Gentium" w:hAnsi="Gentium" w:eastAsia="Gentium" w:cs="Gentium"/>
          <w:bCs/>
          <w:sz w:val="24"/>
          <w:szCs w:val="24"/>
        </w:rPr>
        <w:t xml:space="preserve"> De fapt, </w:t>
      </w:r>
      <w:r>
        <w:rPr>
          <w:rFonts w:ascii="Gentium" w:hAnsi="Gentium" w:eastAsia="Gentium" w:cs="Gentium"/>
          <w:bCs/>
          <w:sz w:val="24"/>
          <w:szCs w:val="24"/>
        </w:rPr>
        <w:t xml:space="preserve">cel ce a furnizat expresia cea mai celebră a paralelismului Moise-Platon, a fost un filosof grec păgând, Numenius din Apamea, care a trăit în a doua jumătate a secolului 2 AD (filosof neopitagorean şi neoplatonist). </w:t>
      </w:r>
      <w:r>
        <w:rPr>
          <w:rFonts w:ascii="Gentium" w:hAnsi="Gentium" w:eastAsia="Gentium" w:cs="Gentium"/>
          <w:bCs/>
          <w:sz w:val="24"/>
          <w:szCs w:val="24"/>
        </w:rPr>
        <w:t xml:space="preserve">El l-a numit pe Platon „un Moise vorbind greceşte” („Moise care a grăit în attică”; citat de părinţii Bisericii, </w:t>
      </w:r>
      <w:r>
        <w:rPr>
          <w:rFonts w:ascii="Gentium" w:hAnsi="Gentium" w:eastAsia="Gentium" w:cs="Gentium"/>
          <w:bCs/>
          <w:sz w:val="24"/>
          <w:szCs w:val="24"/>
        </w:rPr>
        <w:t xml:space="preserve">Clement of Alexandria</w:t>
      </w:r>
      <w:r>
        <w:rPr>
          <w:rFonts w:ascii="Gentium" w:hAnsi="Gentium" w:eastAsia="Gentium" w:cs="Gentium"/>
          <w:bCs/>
          <w:i/>
          <w:iCs/>
          <w:sz w:val="24"/>
          <w:szCs w:val="24"/>
        </w:rPr>
        <w:t xml:space="preserve">, Stromata</w:t>
      </w:r>
      <w:r>
        <w:rPr>
          <w:rFonts w:ascii="Gentium" w:hAnsi="Gentium" w:eastAsia="Gentium" w:cs="Gentium"/>
          <w:bCs/>
          <w:i/>
          <w:iCs/>
          <w:sz w:val="24"/>
          <w:szCs w:val="24"/>
        </w:rPr>
        <w:t xml:space="preserve">, </w:t>
      </w:r>
      <w:r>
        <w:rPr>
          <w:rFonts w:ascii="Gentium" w:hAnsi="Gentium" w:eastAsia="Gentium" w:cs="Gentium"/>
          <w:bCs/>
          <w:sz w:val="24"/>
          <w:szCs w:val="24"/>
        </w:rPr>
        <w:t xml:space="preserve">1.</w:t>
      </w:r>
      <w:r>
        <w:rPr>
          <w:rFonts w:ascii="Gentium" w:hAnsi="Gentium" w:eastAsia="Gentium" w:cs="Gentium"/>
          <w:bCs/>
          <w:sz w:val="24"/>
          <w:szCs w:val="24"/>
        </w:rPr>
        <w:t xml:space="preserve">342;</w:t>
      </w:r>
      <w:r>
        <w:rPr>
          <w:rFonts w:ascii="Gentium" w:hAnsi="Gentium" w:eastAsia="Gentium" w:cs="Gentium"/>
          <w:bCs/>
          <w:i/>
          <w:iCs/>
          <w:sz w:val="24"/>
          <w:szCs w:val="24"/>
        </w:rPr>
        <w:t xml:space="preserve"> </w:t>
      </w:r>
      <w:r>
        <w:rPr>
          <w:rFonts w:ascii="Gentium" w:hAnsi="Gentium" w:eastAsia="Gentium" w:cs="Gentium"/>
          <w:bCs/>
          <w:sz w:val="24"/>
          <w:szCs w:val="24"/>
        </w:rPr>
        <w:t xml:space="preserve">Eusebius</w:t>
      </w:r>
      <w:r>
        <w:rPr>
          <w:rFonts w:ascii="Gentium" w:hAnsi="Gentium" w:eastAsia="Gentium" w:cs="Gentium"/>
          <w:bCs/>
          <w:i/>
          <w:iCs/>
          <w:sz w:val="24"/>
          <w:szCs w:val="24"/>
        </w:rPr>
        <w:t xml:space="preserve">, Praep. Evang.</w:t>
      </w:r>
      <w:r>
        <w:rPr>
          <w:rFonts w:ascii="Gentium" w:hAnsi="Gentium" w:eastAsia="Gentium" w:cs="Gentium"/>
          <w:bCs/>
          <w:i/>
          <w:iCs/>
          <w:sz w:val="24"/>
          <w:szCs w:val="24"/>
        </w:rPr>
        <w:t xml:space="preserve">,</w:t>
      </w:r>
      <w:r>
        <w:rPr>
          <w:rFonts w:ascii="Gentium" w:hAnsi="Gentium" w:eastAsia="Gentium" w:cs="Gentium"/>
          <w:bCs/>
          <w:sz w:val="24"/>
          <w:szCs w:val="24"/>
        </w:rPr>
        <w:t xml:space="preserve"> </w:t>
      </w:r>
      <w:r>
        <w:rPr>
          <w:rFonts w:ascii="Gentium" w:hAnsi="Gentium" w:eastAsia="Gentium" w:cs="Gentium"/>
          <w:bCs/>
          <w:sz w:val="24"/>
          <w:szCs w:val="24"/>
        </w:rPr>
        <w:t xml:space="preserve">11.</w:t>
      </w:r>
      <w:r>
        <w:rPr>
          <w:rFonts w:ascii="Gentium" w:hAnsi="Gentium" w:eastAsia="Gentium" w:cs="Gentium"/>
          <w:bCs/>
          <w:sz w:val="24"/>
          <w:szCs w:val="24"/>
        </w:rPr>
        <w:t xml:space="preserve">10; Suda,</w:t>
      </w:r>
      <w:r>
        <w:rPr>
          <w:rFonts w:ascii="Gentium" w:hAnsi="Gentium" w:eastAsia="Gentium" w:cs="Gentium"/>
          <w:bCs/>
          <w:i/>
          <w:iCs/>
          <w:sz w:val="24"/>
          <w:szCs w:val="24"/>
        </w:rPr>
        <w:t xml:space="preserve"> </w:t>
      </w:r>
      <w:r>
        <w:rPr>
          <w:rFonts w:ascii="Gentium" w:hAnsi="Gentium" w:eastAsia="Gentium" w:cs="Gentium"/>
          <w:bCs/>
          <w:i/>
          <w:iCs/>
          <w:sz w:val="24"/>
          <w:szCs w:val="24"/>
        </w:rPr>
        <w:t xml:space="preserve">Numenius</w:t>
      </w:r>
      <w:r>
        <w:rPr>
          <w:rFonts w:ascii="Gentium" w:hAnsi="Gentium" w:eastAsia="Gentium" w:cs="Gentium"/>
          <w:bCs/>
          <w:sz w:val="24"/>
          <w:szCs w:val="24"/>
        </w:rPr>
        <w:t xml:space="preserve">; exist</w:t>
      </w:r>
      <w:r>
        <w:rPr>
          <w:rFonts w:ascii="Gentium" w:hAnsi="Gentium" w:eastAsia="Gentium" w:cs="Gentium"/>
          <w:bCs/>
          <w:sz w:val="24"/>
          <w:szCs w:val="24"/>
        </w:rPr>
        <w:t xml:space="preserve">ă însă şi o obiecţie privitoare la acest citat: el este păstrat de creştini, adică tocmai de cei care afirmau, în prelungirea eforturilor iudaice timpurii, că se poate vorbi de o echivalenţă filosofică şi religioasă, până la un punct, între Platon ş Moise.</w:t>
      </w:r>
      <w:r>
        <w:rPr>
          <w:rFonts w:ascii="Gentium" w:hAnsi="Gentium" w:eastAsia="Gentium" w:cs="Gentium"/>
          <w:bCs/>
          <w:sz w:val="24"/>
          <w:szCs w:val="24"/>
        </w:rPr>
        <w:t xml:space="preserve">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Influenţa </w:t>
      </w:r>
      <w:r>
        <w:rPr>
          <w:rFonts w:ascii="Gentium" w:hAnsi="Gentium" w:eastAsia="Gentium" w:cs="Gentium"/>
          <w:bCs/>
          <w:sz w:val="24"/>
          <w:szCs w:val="24"/>
        </w:rPr>
        <w:t xml:space="preserve">filosofilor greci asupra NT.</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Şcoli greceşti de filosofie.</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Platon şi Aristotel.</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Modele politice, idealul organizării cetăţii perfecte. Cf. Moise. Organizarea este o paradigmă profund înscrisă în gândirea umană.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Valorile lui Platon şi Aristotel subliniază valoarea comunităţii, a societăţii ca ansamblu, căreia i se subordonează individul, familia, etc. Importantă este supravie</w:t>
      </w:r>
      <w:r>
        <w:rPr>
          <w:rFonts w:ascii="Gentium" w:hAnsi="Gentium" w:eastAsia="Gentium" w:cs="Gentium"/>
          <w:bCs/>
          <w:sz w:val="24"/>
          <w:szCs w:val="24"/>
        </w:rPr>
        <w:t xml:space="preserve">ţuirea comunităţii, nu împlinirea individului. Decăderea perioadei clasice aduce cu sine afirmarea individului. La baza societăţii umane, pe de altă parte, iudaismul punea valoarea individului, a familiei. Comunitatea realizată prin realizarea individului.</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Isus şi filosofii greci: portretul cinic şi peripatetic – sau unul stoic. Paralele greceş</w:t>
      </w:r>
      <w:r>
        <w:rPr>
          <w:rFonts w:ascii="Gentium" w:hAnsi="Gentium" w:eastAsia="Gentium" w:cs="Gentium"/>
          <w:bCs/>
          <w:sz w:val="24"/>
          <w:szCs w:val="24"/>
        </w:rPr>
        <w:t xml:space="preserve">t</w:t>
      </w:r>
      <w:r>
        <w:rPr>
          <w:rFonts w:ascii="Gentium" w:hAnsi="Gentium" w:eastAsia="Gentium" w:cs="Gentium"/>
          <w:bCs/>
          <w:sz w:val="24"/>
          <w:szCs w:val="24"/>
        </w:rPr>
        <w:t xml:space="preserve">i şi rabinice în pedagogia lui Isus. Şi grecii vin să îl asculte (Ioan 12). Organizarea din spatele misiunii lui Isus: restabilirea importanţei femeii (Luca 8). Isus şi femeile: arătarea de la mormânt, Marta şi Maria, etc.</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8</w:t>
      </w:r>
      <w:bookmarkStart w:id="50" w:name="_Toc252991854"/>
      <w:r>
        <w:rPr>
          <w:rFonts w:ascii="Gentium" w:hAnsi="Gentium" w:eastAsia="Gentium" w:cs="Gentium"/>
          <w:sz w:val="24"/>
          <w:szCs w:val="24"/>
          <w:lang w:val="ro-RO"/>
        </w:rPr>
        <w:t xml:space="preserve">.2 Perspective literare şi ideologice</w:t>
      </w:r>
      <w:bookmarkEnd w:id="50"/>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Septuaginta ca reper literară şi teologică, ideologică</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Septuaginta este un fenomen cultural care aduce în lumea greacă ideile evreieşti. Nu este o simplă traducere a VT, ci o completare a traduceri</w:t>
      </w:r>
      <w:r>
        <w:rPr>
          <w:rFonts w:ascii="Gentium" w:hAnsi="Gentium" w:eastAsia="Gentium" w:cs="Gentium"/>
          <w:bCs/>
          <w:sz w:val="24"/>
          <w:szCs w:val="24"/>
        </w:rPr>
        <w:t xml:space="preserve">i cu scrieri apocrife, de tip elenist (literatură sapienţială, Înţelepciunea lui Isus fiul lui Sirach; literatură nuvelistică: Judita, Susana, cartea lui Tobit, 1-4 Macabei, etc.). De fapt, şi scrierile târzii ale NT au valori nuvelistice: Estera, Rut, Dan</w:t>
      </w:r>
      <w:r>
        <w:rPr>
          <w:rFonts w:ascii="Gentium" w:hAnsi="Gentium" w:eastAsia="Gentium" w:cs="Gentium"/>
          <w:bCs/>
          <w:sz w:val="24"/>
          <w:szCs w:val="24"/>
        </w:rPr>
        <w:t xml:space="preserve">iel. Genul nuvelistic şi cel filosofic se impun în gândirea iudaică.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Noul Testament va simţi influenţa proiectului septuagintal: în mesaj mesianic</w:t>
      </w:r>
      <w:r>
        <w:rPr>
          <w:rFonts w:ascii="Gentium" w:hAnsi="Gentium" w:eastAsia="Gentium" w:cs="Gentium"/>
          <w:bCs/>
          <w:sz w:val="24"/>
          <w:szCs w:val="24"/>
        </w:rPr>
        <w:t xml:space="preserve"> (apostolii vor cita profeţii despre Mesia, din Septuaginta)</w:t>
      </w:r>
      <w:r>
        <w:rPr>
          <w:rFonts w:ascii="Gentium" w:hAnsi="Gentium" w:eastAsia="Gentium" w:cs="Gentium"/>
          <w:bCs/>
          <w:sz w:val="24"/>
          <w:szCs w:val="24"/>
        </w:rPr>
        <w:t xml:space="preserve">, în preferinţe literare</w:t>
      </w:r>
      <w:r>
        <w:rPr>
          <w:rFonts w:ascii="Gentium" w:hAnsi="Gentium" w:eastAsia="Gentium" w:cs="Gentium"/>
          <w:bCs/>
          <w:sz w:val="24"/>
          <w:szCs w:val="24"/>
        </w:rPr>
        <w:t xml:space="preserve"> (Luca imită stilul narativ septuagintal; genul nuvelistic este influent; de asemeni, şi genul semi-biografic şi proclamator care va duce la crearea genului evangheliilor)</w:t>
      </w:r>
      <w:r>
        <w:rPr>
          <w:rFonts w:ascii="Gentium" w:hAnsi="Gentium" w:eastAsia="Gentium" w:cs="Gentium"/>
          <w:bCs/>
          <w:sz w:val="24"/>
          <w:szCs w:val="24"/>
        </w:rPr>
        <w:t xml:space="preserve">, în conţinut filosofic</w:t>
      </w:r>
      <w:r>
        <w:rPr>
          <w:rFonts w:ascii="Gentium" w:hAnsi="Gentium" w:eastAsia="Gentium" w:cs="Gentium"/>
          <w:bCs/>
          <w:sz w:val="24"/>
          <w:szCs w:val="24"/>
        </w:rPr>
        <w:t xml:space="preserve"> (texte sapienţiale)</w:t>
      </w:r>
      <w:r>
        <w:rPr>
          <w:rFonts w:ascii="Gentium" w:hAnsi="Gentium" w:eastAsia="Gentium" w:cs="Gentium"/>
          <w:bCs/>
          <w:sz w:val="24"/>
          <w:szCs w:val="24"/>
        </w:rPr>
        <w:t xml:space="preserve">, în perspective ideologice.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Reprezentarea literară a realităţii: istorie şi literatură în Faptele Apostolilor.</w:t>
      </w:r>
      <w:r>
        <w:rPr>
          <w:rFonts w:ascii="Gentium" w:hAnsi="Gentium" w:eastAsia="Gentium" w:cs="Gentium"/>
          <w:bCs/>
          <w:sz w:val="24"/>
          <w:szCs w:val="24"/>
        </w:rPr>
        <w:t xml:space="preserve"> Elemente de nuvelă şi literatură de aventură: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convertirea eunucului etiopian (Fapte 8)</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convertirea lui Pavel pe drumul Damascului (Fapte 9)</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viziunile lui Petru şi convertirea lui Corneliu (Fapte 10)</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convertirea temnicerului din Filipi (Fapte 16)</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dejucarea complotului de ucidere a lui Pavel (</w:t>
      </w:r>
      <w:r>
        <w:rPr>
          <w:rFonts w:ascii="Gentium" w:hAnsi="Gentium" w:eastAsia="Gentium" w:cs="Gentium"/>
          <w:bCs/>
          <w:sz w:val="24"/>
          <w:szCs w:val="24"/>
        </w:rPr>
        <w:t xml:space="preserve">Fapte 22)</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naufragiul din Malta (Fapte 27-28)</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Politic</w:t>
      </w:r>
      <w:r>
        <w:rPr>
          <w:rFonts w:ascii="Gentium" w:hAnsi="Gentium" w:eastAsia="Gentium" w:cs="Gentium"/>
          <w:bCs/>
          <w:sz w:val="24"/>
          <w:szCs w:val="24"/>
        </w:rPr>
        <w:t xml:space="preserve">i culturale şi creştinism</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Teologia străinilor şi programul creştin.</w:t>
      </w:r>
      <w:r>
        <w:rPr>
          <w:rFonts w:ascii="Gentium" w:hAnsi="Gentium" w:eastAsia="Gentium" w:cs="Gentium"/>
          <w:bCs/>
          <w:sz w:val="24"/>
          <w:szCs w:val="24"/>
        </w:rPr>
        <w:t xml:space="preserve"> </w:t>
      </w:r>
      <w:r>
        <w:rPr>
          <w:rFonts w:ascii="Gentium" w:hAnsi="Gentium" w:eastAsia="Gentium" w:cs="Gentium"/>
          <w:bCs/>
          <w:i/>
          <w:sz w:val="24"/>
          <w:szCs w:val="24"/>
        </w:rPr>
        <w:t xml:space="preserve">Metoikos</w:t>
      </w:r>
      <w:r>
        <w:rPr>
          <w:rFonts w:ascii="Gentium" w:hAnsi="Gentium" w:eastAsia="Gentium" w:cs="Gentium"/>
          <w:bCs/>
          <w:sz w:val="24"/>
          <w:szCs w:val="24"/>
        </w:rPr>
        <w:t xml:space="preserve"> (metec) străinul </w:t>
      </w:r>
      <w:r>
        <w:rPr>
          <w:rFonts w:ascii="Gentium" w:hAnsi="Gentium" w:eastAsia="Gentium" w:cs="Gentium"/>
          <w:bCs/>
          <w:sz w:val="24"/>
          <w:szCs w:val="24"/>
        </w:rPr>
        <w:t xml:space="preserve">cel fără drepturi în Atena (Aristotel, Politica)</w:t>
      </w:r>
      <w:r>
        <w:rPr>
          <w:rFonts w:ascii="Gentium" w:hAnsi="Gentium" w:eastAsia="Gentium" w:cs="Gentium"/>
          <w:bCs/>
          <w:sz w:val="24"/>
          <w:szCs w:val="24"/>
        </w:rPr>
        <w:t xml:space="preserve"> şi </w:t>
      </w:r>
      <w:r>
        <w:rPr>
          <w:rFonts w:ascii="Gentium" w:hAnsi="Gentium" w:eastAsia="Gentium" w:cs="Gentium"/>
          <w:bCs/>
          <w:i/>
          <w:sz w:val="24"/>
          <w:szCs w:val="24"/>
        </w:rPr>
        <w:t xml:space="preserve">paroikos</w:t>
      </w:r>
      <w:r>
        <w:rPr>
          <w:rFonts w:ascii="Gentium" w:hAnsi="Gentium" w:eastAsia="Gentium" w:cs="Gentium"/>
          <w:bCs/>
          <w:sz w:val="24"/>
          <w:szCs w:val="24"/>
        </w:rPr>
        <w:t xml:space="preserve">, </w:t>
      </w:r>
      <w:r>
        <w:rPr>
          <w:rFonts w:ascii="Gentium" w:hAnsi="Gentium" w:eastAsia="Gentium" w:cs="Gentium"/>
          <w:bCs/>
          <w:sz w:val="24"/>
          <w:szCs w:val="24"/>
        </w:rPr>
        <w:t xml:space="preserve">străinul </w:t>
      </w:r>
      <w:r>
        <w:rPr>
          <w:rFonts w:ascii="Gentium" w:hAnsi="Gentium" w:eastAsia="Gentium" w:cs="Gentium"/>
          <w:bCs/>
          <w:sz w:val="24"/>
          <w:szCs w:val="24"/>
        </w:rPr>
        <w:t xml:space="preserve">care nu este la curent cu întâmplările interne recente</w:t>
      </w:r>
      <w:r>
        <w:rPr>
          <w:rFonts w:ascii="Gentium" w:hAnsi="Gentium" w:eastAsia="Gentium" w:cs="Gentium"/>
          <w:bCs/>
          <w:sz w:val="24"/>
          <w:szCs w:val="24"/>
        </w:rPr>
        <w:t xml:space="preserve">. </w:t>
      </w:r>
      <w:r>
        <w:rPr>
          <w:rFonts w:ascii="Gentium" w:hAnsi="Gentium" w:eastAsia="Gentium" w:cs="Gentium"/>
          <w:bCs/>
          <w:sz w:val="24"/>
          <w:szCs w:val="24"/>
        </w:rPr>
        <w:t xml:space="preserve">Isus este </w:t>
      </w:r>
      <w:r>
        <w:rPr>
          <w:rFonts w:ascii="Gentium" w:hAnsi="Gentium" w:eastAsia="Gentium" w:cs="Gentium"/>
          <w:bCs/>
          <w:sz w:val="24"/>
          <w:szCs w:val="24"/>
        </w:rPr>
        <w:t xml:space="preserve">descris ca un </w:t>
      </w:r>
      <w:r>
        <w:rPr>
          <w:rFonts w:ascii="Gentium" w:hAnsi="Gentium" w:eastAsia="Gentium" w:cs="Gentium"/>
          <w:bCs/>
          <w:i/>
          <w:sz w:val="24"/>
          <w:szCs w:val="24"/>
        </w:rPr>
        <w:t xml:space="preserve">paroikos</w:t>
      </w:r>
      <w:r>
        <w:rPr>
          <w:rFonts w:ascii="Gentium" w:hAnsi="Gentium" w:eastAsia="Gentium" w:cs="Gentium"/>
          <w:bCs/>
          <w:sz w:val="24"/>
          <w:szCs w:val="24"/>
        </w:rPr>
        <w:t xml:space="preserve">, străin</w:t>
      </w:r>
      <w:r>
        <w:rPr>
          <w:rFonts w:ascii="Gentium" w:hAnsi="Gentium" w:eastAsia="Gentium" w:cs="Gentium"/>
          <w:bCs/>
          <w:sz w:val="24"/>
          <w:szCs w:val="24"/>
        </w:rPr>
        <w:t xml:space="preserve"> (posibil prozelit)</w:t>
      </w:r>
      <w:r>
        <w:rPr>
          <w:rFonts w:ascii="Gentium" w:hAnsi="Gentium" w:eastAsia="Gentium" w:cs="Gentium"/>
          <w:bCs/>
          <w:sz w:val="24"/>
          <w:szCs w:val="24"/>
        </w:rPr>
        <w:t xml:space="preserve">,</w:t>
      </w:r>
      <w:r>
        <w:rPr>
          <w:rFonts w:ascii="Gentium" w:hAnsi="Gentium" w:eastAsia="Gentium" w:cs="Gentium"/>
          <w:bCs/>
          <w:sz w:val="24"/>
          <w:szCs w:val="24"/>
        </w:rPr>
        <w:t xml:space="preserve"> când se arată, după înviere, celor doi care călătoreau spre Emaus </w:t>
      </w:r>
      <w:r>
        <w:rPr>
          <w:rFonts w:ascii="Gentium" w:hAnsi="Gentium" w:eastAsia="Gentium" w:cs="Gentium"/>
          <w:bCs/>
          <w:sz w:val="24"/>
          <w:szCs w:val="24"/>
        </w:rPr>
        <w:t xml:space="preserve">(Luca 24). </w:t>
      </w:r>
      <w:r>
        <w:rPr>
          <w:rFonts w:ascii="Gentium" w:hAnsi="Gentium" w:eastAsia="Gentium" w:cs="Gentium"/>
          <w:bCs/>
          <w:sz w:val="24"/>
          <w:szCs w:val="24"/>
        </w:rPr>
        <w:t xml:space="preserve">Creştinii sunt numiţi paroikos (</w:t>
      </w:r>
      <w:r>
        <w:rPr>
          <w:rFonts w:ascii="Gentium" w:hAnsi="Gentium" w:eastAsia="Gentium" w:cs="Gentium"/>
          <w:bCs/>
          <w:sz w:val="24"/>
          <w:szCs w:val="24"/>
        </w:rPr>
        <w:t xml:space="preserve">străini şi călători) în 1 Petru (</w:t>
      </w:r>
      <w:r>
        <w:rPr>
          <w:rFonts w:ascii="Gentium" w:hAnsi="Gentium" w:eastAsia="Gentium" w:cs="Gentium"/>
          <w:bCs/>
          <w:sz w:val="24"/>
          <w:szCs w:val="24"/>
        </w:rPr>
        <w:t xml:space="preserve">1:1, </w:t>
      </w:r>
      <w:r>
        <w:rPr>
          <w:rFonts w:ascii="Gentium" w:hAnsi="Gentium" w:eastAsia="Gentium" w:cs="Gentium"/>
          <w:bCs/>
          <w:sz w:val="24"/>
          <w:szCs w:val="24"/>
        </w:rPr>
        <w:t xml:space="preserve">1:17; 2:11).</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Viaţa creştină: apropiată de paradigma pelerinului (străin şi călător), aflat într-o situaţie de contestare a cetăţilor pământeşti, a sistemelor politice existente, şi afirmând carac</w:t>
      </w:r>
      <w:r>
        <w:rPr>
          <w:rFonts w:ascii="Gentium" w:hAnsi="Gentium" w:eastAsia="Gentium" w:cs="Gentium"/>
          <w:bCs/>
          <w:sz w:val="24"/>
          <w:szCs w:val="24"/>
        </w:rPr>
        <w:t xml:space="preserve">terul lor temporar. Organizarea societăţii creştine are un statut intermediar. Integrarea sa în structurile politice existente este doar parţială şi temporară. Adevărata integrare apare în momentul revenirii lui Mesia şi a instaurării Împărăţiei mesianice.</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Creştinii şi confruntarea economică şi culturală </w:t>
      </w:r>
      <w:r>
        <w:rPr>
          <w:rFonts w:ascii="Gentium" w:hAnsi="Gentium" w:eastAsia="Gentium" w:cs="Gentium"/>
          <w:bCs/>
          <w:sz w:val="24"/>
          <w:szCs w:val="24"/>
        </w:rPr>
        <w:t xml:space="preserve">cu oraşul</w:t>
      </w:r>
      <w:r>
        <w:rPr>
          <w:rFonts w:ascii="Gentium" w:hAnsi="Gentium" w:eastAsia="Gentium" w:cs="Gentium"/>
          <w:bCs/>
          <w:sz w:val="24"/>
          <w:szCs w:val="24"/>
        </w:rPr>
        <w:t xml:space="preserve"> elenist (Fapte 16): Pavel şi vindecarea (exorcizarea) sclavei cu spirit de ghicire (elemente de nuvelă).</w:t>
      </w:r>
      <w:r>
        <w:rPr>
          <w:rFonts w:ascii="Gentium" w:hAnsi="Gentium" w:eastAsia="Gentium" w:cs="Gentium"/>
          <w:bCs/>
          <w:sz w:val="24"/>
          <w:szCs w:val="24"/>
        </w:rPr>
        <w:t xml:space="preserve"> Problemele interne ale creştinismului: îndrăzneala de a predica străinilor (famenul etiopian şi Filip</w:t>
      </w:r>
      <w:r>
        <w:rPr>
          <w:rFonts w:ascii="Gentium" w:hAnsi="Gentium" w:eastAsia="Gentium" w:cs="Gentium"/>
          <w:bCs/>
          <w:sz w:val="24"/>
          <w:szCs w:val="24"/>
        </w:rPr>
        <w:t xml:space="preserve">, Fapte 8</w:t>
      </w:r>
      <w:r>
        <w:rPr>
          <w:rFonts w:ascii="Gentium" w:hAnsi="Gentium" w:eastAsia="Gentium" w:cs="Gentium"/>
          <w:bCs/>
          <w:sz w:val="24"/>
          <w:szCs w:val="24"/>
        </w:rPr>
        <w:t xml:space="preserve">; </w:t>
      </w:r>
      <w:r>
        <w:rPr>
          <w:rFonts w:ascii="Gentium" w:hAnsi="Gentium" w:eastAsia="Gentium" w:cs="Gentium"/>
          <w:bCs/>
          <w:sz w:val="24"/>
          <w:szCs w:val="24"/>
        </w:rPr>
        <w:t xml:space="preserve">Petru şi Corneliu, Fapte 10-12; şi semi-străinilor: Filip şi </w:t>
      </w:r>
      <w:r>
        <w:rPr>
          <w:rFonts w:ascii="Gentium" w:hAnsi="Gentium" w:eastAsia="Gentium" w:cs="Gentium"/>
          <w:bCs/>
          <w:sz w:val="24"/>
          <w:szCs w:val="24"/>
        </w:rPr>
        <w:t xml:space="preserve">samaritenii).</w:t>
      </w:r>
      <w:r>
        <w:rPr>
          <w:rFonts w:ascii="Gentium" w:hAnsi="Gentium" w:eastAsia="Gentium" w:cs="Gentium"/>
          <w:bCs/>
          <w:sz w:val="24"/>
          <w:szCs w:val="24"/>
        </w:rPr>
        <w:t xml:space="preserve"> Din nou, elementul de aventură. Răspândirea creştinismului nu este o istorie plictisitoare, ci una de aventură, de confruntare culturală şi religioasă.</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Imperiul roman şi ideologia NT: separare de iudei şi apreciere asupra </w:t>
      </w:r>
      <w:r>
        <w:rPr>
          <w:rFonts w:ascii="Gentium" w:hAnsi="Gentium" w:eastAsia="Gentium" w:cs="Gentium"/>
          <w:bCs/>
          <w:sz w:val="24"/>
          <w:szCs w:val="24"/>
        </w:rPr>
        <w:t xml:space="preserve">imperiului roman (aprecierea militarilor; aprecierea dreptăţii romane). </w:t>
      </w:r>
      <w:r>
        <w:rPr>
          <w:rFonts w:ascii="Gentium" w:hAnsi="Gentium" w:eastAsia="Gentium" w:cs="Gentium"/>
          <w:bCs/>
          <w:i/>
          <w:sz w:val="24"/>
          <w:szCs w:val="24"/>
        </w:rPr>
        <w:t xml:space="preserve">Apologia pro evangelia</w:t>
      </w:r>
      <w:r>
        <w:rPr>
          <w:rFonts w:ascii="Gentium" w:hAnsi="Gentium" w:eastAsia="Gentium" w:cs="Gentium"/>
          <w:bCs/>
          <w:sz w:val="24"/>
          <w:szCs w:val="24"/>
        </w:rPr>
        <w:t xml:space="preserve"> şi </w:t>
      </w:r>
      <w:r>
        <w:rPr>
          <w:rFonts w:ascii="Gentium" w:hAnsi="Gentium" w:eastAsia="Gentium" w:cs="Gentium"/>
          <w:bCs/>
          <w:i/>
          <w:sz w:val="24"/>
          <w:szCs w:val="24"/>
        </w:rPr>
        <w:t xml:space="preserve">Apologia pro imperium</w:t>
      </w:r>
      <w:r>
        <w:rPr>
          <w:rFonts w:ascii="Gentium" w:hAnsi="Gentium" w:eastAsia="Gentium" w:cs="Gentium"/>
          <w:bCs/>
          <w:sz w:val="24"/>
          <w:szCs w:val="24"/>
        </w:rPr>
        <w:t xml:space="preserve">.</w:t>
      </w:r>
      <w:r>
        <w:rPr>
          <w:rFonts w:ascii="Gentium" w:hAnsi="Gentium" w:eastAsia="Gentium" w:cs="Gentium"/>
          <w:bCs/>
          <w:sz w:val="24"/>
          <w:szCs w:val="24"/>
        </w:rPr>
        <w:t xml:space="preserve"> </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r>
      <w:r>
        <w:rPr>
          <w:rFonts w:ascii="Gentium" w:hAnsi="Gentium" w:eastAsia="Gentium" w:cs="Gentium"/>
          <w:bCs/>
          <w:sz w:val="24"/>
          <w:szCs w:val="24"/>
        </w:rPr>
      </w:r>
      <w:r>
        <w:rPr>
          <w:rFonts w:ascii="Gentium" w:hAnsi="Gentium" w:cs="Gentium"/>
          <w:bCs/>
          <w:sz w:val="24"/>
          <w:szCs w:val="24"/>
        </w:rPr>
      </w:r>
    </w:p>
    <w:p>
      <w:pPr>
        <w:pStyle w:val="1711"/>
        <w:pBdr/>
        <w:spacing/>
        <w:ind/>
        <w:rPr>
          <w:rFonts w:ascii="Gentium" w:hAnsi="Gentium" w:cs="Gentium"/>
          <w:bCs/>
          <w:sz w:val="24"/>
          <w:szCs w:val="24"/>
        </w:rPr>
      </w:pPr>
      <w:r>
        <w:rPr>
          <w:rFonts w:ascii="Gentium" w:hAnsi="Gentium" w:eastAsia="Gentium" w:cs="Gentium"/>
          <w:bCs/>
          <w:sz w:val="24"/>
          <w:szCs w:val="24"/>
        </w:rPr>
        <w:t xml:space="preserve">Bibliografie</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sz w:val="24"/>
          <w:szCs w:val="24"/>
        </w:rPr>
      </w:pPr>
      <w:r>
        <w:rPr>
          <w:rFonts w:ascii="Gentium" w:hAnsi="Gentium" w:eastAsia="Gentium" w:cs="Gentium"/>
          <w:bCs/>
          <w:sz w:val="24"/>
          <w:szCs w:val="24"/>
        </w:rPr>
        <w:t xml:space="preserve">Hengel, </w:t>
      </w:r>
      <w:r>
        <w:rPr>
          <w:rFonts w:ascii="Gentium" w:hAnsi="Gentium" w:eastAsia="Gentium" w:cs="Gentium"/>
          <w:bCs/>
          <w:i/>
          <w:sz w:val="24"/>
          <w:szCs w:val="24"/>
        </w:rPr>
        <w:t xml:space="preserve">Judaism and Hellenism,</w:t>
      </w:r>
      <w:r>
        <w:rPr>
          <w:rFonts w:ascii="Gentium" w:hAnsi="Gentium" w:eastAsia="Gentium" w:cs="Gentium"/>
          <w:bCs/>
          <w:sz w:val="24"/>
          <w:szCs w:val="24"/>
        </w:rPr>
        <w:t xml:space="preserve"> 58-248</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bCs/>
          <w:i/>
          <w:sz w:val="24"/>
          <w:szCs w:val="24"/>
        </w:rPr>
      </w:pPr>
      <w:r>
        <w:rPr>
          <w:rFonts w:ascii="Gentium" w:hAnsi="Gentium" w:eastAsia="Gentium" w:cs="Gentium"/>
          <w:bCs/>
          <w:sz w:val="24"/>
          <w:szCs w:val="24"/>
        </w:rPr>
        <w:t xml:space="preserve">Platon</w:t>
      </w:r>
      <w:r>
        <w:rPr>
          <w:rFonts w:ascii="Gentium" w:hAnsi="Gentium" w:eastAsia="Gentium" w:cs="Gentium"/>
          <w:bCs/>
          <w:i/>
          <w:sz w:val="24"/>
          <w:szCs w:val="24"/>
        </w:rPr>
        <w:t xml:space="preserve">, Republica; Legile.</w:t>
      </w:r>
      <w:r>
        <w:rPr>
          <w:rFonts w:ascii="Gentium" w:hAnsi="Gentium" w:eastAsia="Gentium" w:cs="Gentium"/>
          <w:bCs/>
          <w:i/>
          <w:sz w:val="24"/>
          <w:szCs w:val="24"/>
        </w:rPr>
      </w:r>
      <w:r>
        <w:rPr>
          <w:rFonts w:ascii="Gentium" w:hAnsi="Gentium" w:cs="Gentium"/>
          <w:bCs/>
          <w:i/>
          <w:sz w:val="24"/>
          <w:szCs w:val="24"/>
        </w:rPr>
      </w:r>
    </w:p>
    <w:p>
      <w:pPr>
        <w:pStyle w:val="1711"/>
        <w:pBdr/>
        <w:spacing/>
        <w:ind w:firstLine="0"/>
        <w:rPr>
          <w:rFonts w:ascii="Gentium" w:hAnsi="Gentium" w:cs="Gentium"/>
          <w:bCs/>
          <w:sz w:val="24"/>
          <w:szCs w:val="24"/>
        </w:rPr>
      </w:pPr>
      <w:r>
        <w:rPr>
          <w:rFonts w:ascii="Gentium" w:hAnsi="Gentium" w:eastAsia="Gentium" w:cs="Gentium"/>
          <w:sz w:val="24"/>
          <w:szCs w:val="24"/>
        </w:rPr>
        <w:t xml:space="preserve">Baban, O., „Conflictele Bisericii”.</w:t>
      </w:r>
      <w:r>
        <w:rPr>
          <w:rFonts w:ascii="Gentium" w:hAnsi="Gentium" w:eastAsia="Gentium" w:cs="Gentium"/>
          <w:bCs/>
          <w:sz w:val="24"/>
          <w:szCs w:val="24"/>
        </w:rPr>
      </w:r>
      <w:r>
        <w:rPr>
          <w:rFonts w:ascii="Gentium" w:hAnsi="Gentium" w:cs="Gentium"/>
          <w:bCs/>
          <w:sz w:val="24"/>
          <w:szCs w:val="24"/>
        </w:rPr>
      </w:r>
    </w:p>
    <w:p>
      <w:pPr>
        <w:pStyle w:val="1711"/>
        <w:pBdr/>
        <w:spacing/>
        <w:ind w:firstLine="0"/>
        <w:rPr>
          <w:rFonts w:ascii="Gentium" w:hAnsi="Gentium" w:cs="Gentium"/>
          <w:i/>
          <w:sz w:val="24"/>
          <w:szCs w:val="24"/>
        </w:rPr>
      </w:pPr>
      <w:r>
        <w:rPr>
          <w:rFonts w:ascii="Gentium" w:hAnsi="Gentium" w:eastAsia="Gentium" w:cs="Gentium"/>
          <w:sz w:val="24"/>
          <w:szCs w:val="24"/>
        </w:rPr>
        <w:t xml:space="preserve">Hansen, </w:t>
      </w:r>
      <w:r>
        <w:rPr>
          <w:rFonts w:ascii="Gentium" w:hAnsi="Gentium" w:eastAsia="Gentium" w:cs="Gentium"/>
          <w:i/>
          <w:sz w:val="24"/>
          <w:szCs w:val="24"/>
        </w:rPr>
        <w:t xml:space="preserve">Anthology.</w:t>
      </w:r>
      <w:r>
        <w:rPr>
          <w:rFonts w:ascii="Gentium" w:hAnsi="Gentium" w:eastAsia="Gentium" w:cs="Gentium"/>
          <w:i/>
          <w:sz w:val="24"/>
          <w:szCs w:val="24"/>
        </w:rPr>
      </w:r>
      <w:r>
        <w:rPr>
          <w:rFonts w:ascii="Gentium" w:hAnsi="Gentium" w:cs="Gentium"/>
          <w:i/>
          <w:sz w:val="24"/>
          <w:szCs w:val="24"/>
        </w:rPr>
      </w:r>
    </w:p>
    <w:p>
      <w:pPr>
        <w:pStyle w:val="1711"/>
        <w:pBdr/>
        <w:spacing/>
        <w:ind w:firstLine="0"/>
        <w:rPr>
          <w:rFonts w:ascii="Gentium" w:hAnsi="Gentium" w:cs="Gentium"/>
          <w:i/>
          <w:sz w:val="24"/>
          <w:szCs w:val="24"/>
        </w:rPr>
      </w:pPr>
      <w:r>
        <w:rPr>
          <w:rFonts w:ascii="Gentium" w:hAnsi="Gentium" w:eastAsia="Gentium" w:cs="Gentium"/>
          <w:i/>
          <w:sz w:val="24"/>
          <w:szCs w:val="24"/>
        </w:rPr>
      </w:r>
      <w:r>
        <w:rPr>
          <w:rFonts w:ascii="Gentium" w:hAnsi="Gentium" w:eastAsia="Gentium" w:cs="Gentium"/>
          <w:i/>
          <w:sz w:val="24"/>
          <w:szCs w:val="24"/>
        </w:rPr>
      </w:r>
      <w:r>
        <w:rPr>
          <w:rFonts w:ascii="Gentium" w:hAnsi="Gentium" w:cs="Gentium"/>
          <w:i/>
          <w:sz w:val="24"/>
          <w:szCs w:val="24"/>
        </w:rPr>
      </w:r>
    </w:p>
    <w:p w14:paraId="051A0AE3">
      <w:pPr>
        <w:pStyle w:val="1713"/>
        <w:pBdr/>
        <w:spacing/>
        <w:ind w:firstLine="0"/>
        <w:rPr>
          <w:rFonts w:ascii="Gentium" w:hAnsi="Gentium" w:cs="Gentium"/>
          <w:sz w:val="24"/>
          <w:szCs w:val="24"/>
        </w:rPr>
      </w:pPr>
      <w:r>
        <w:rPr>
          <w:rFonts w:ascii="Gentium" w:hAnsi="Gentium" w:eastAsia="Gentium" w:cs="Gentium"/>
          <w:sz w:val="24"/>
          <w:szCs w:val="24"/>
        </w:rPr>
      </w:r>
      <w:bookmarkStart w:id="56" w:name="_Toc252991860"/>
      <w:r>
        <w:rPr>
          <w:rFonts w:ascii="Gentium" w:hAnsi="Gentium" w:eastAsia="Gentium" w:cs="Gentium"/>
          <w:sz w:val="24"/>
          <w:szCs w:val="24"/>
        </w:rPr>
        <w:t xml:space="preserve">Curs </w:t>
      </w:r>
      <w:r>
        <w:rPr>
          <w:rFonts w:ascii="Gentium" w:hAnsi="Gentium" w:eastAsia="Gentium" w:cs="Gentium"/>
          <w:sz w:val="24"/>
          <w:szCs w:val="24"/>
          <w:lang w:val="en-US"/>
        </w:rPr>
        <w:t xml:space="preserve">9</w:t>
      </w:r>
      <w:r>
        <w:rPr>
          <w:rFonts w:ascii="Gentium" w:hAnsi="Gentium" w:eastAsia="Gentium" w:cs="Gentium"/>
          <w:sz w:val="24"/>
          <w:szCs w:val="24"/>
        </w:rPr>
        <w:t xml:space="preserve">. </w:t>
      </w:r>
      <w:r>
        <w:rPr>
          <w:rFonts w:ascii="Gentium" w:hAnsi="Gentium" w:eastAsia="Gentium" w:cs="Gentium"/>
          <w:sz w:val="24"/>
          <w:szCs w:val="24"/>
        </w:rPr>
        <w:t xml:space="preserve">Împărăţia lui Dumnezeu şi </w:t>
      </w:r>
      <w:r>
        <w:rPr>
          <w:rFonts w:ascii="Gentium" w:hAnsi="Gentium" w:eastAsia="Gentium" w:cs="Gentium"/>
          <w:sz w:val="24"/>
          <w:szCs w:val="24"/>
        </w:rPr>
        <w:t xml:space="preserve"> NT</w:t>
      </w:r>
      <w:bookmarkEnd w:id="56"/>
      <w:r>
        <w:rPr>
          <w:rFonts w:ascii="Gentium" w:hAnsi="Gentium" w:cs="Gentium"/>
          <w:sz w:val="24"/>
          <w:szCs w:val="24"/>
        </w:rPr>
      </w:r>
      <w:r>
        <w:rPr>
          <w:rFonts w:ascii="Gentium" w:hAnsi="Gentium" w:cs="Gentium"/>
          <w:sz w:val="24"/>
          <w:szCs w:val="24"/>
        </w:rPr>
      </w:r>
    </w:p>
    <w:p w14:paraId="38D9F8EF">
      <w:pPr>
        <w:pStyle w:val="1711"/>
        <w:pBdr/>
        <w:spacing/>
        <w:ind w:firstLine="0"/>
        <w:rPr>
          <w:rFonts w:ascii="Gentium" w:hAnsi="Gentium" w:cs="Gentium"/>
          <w:sz w:val="24"/>
          <w:szCs w:val="24"/>
        </w:rPr>
      </w:pPr>
      <w:r>
        <w:rPr>
          <w:rFonts w:ascii="Gentium" w:hAnsi="Gentium" w:eastAsia="Gentium" w:cs="Gentium"/>
          <w:sz w:val="24"/>
          <w:szCs w:val="24"/>
        </w:rPr>
        <w:t xml:space="preserve">Matei şi statul evreu; Pavel şi imperiul roman; Marcu şi imperiul roman; taxe; autoritate politică; accesul creştin în sferele politicii; legislaţia şi procesele; o teologie creştină a puterii politice; modele mesianice.</w:t>
      </w:r>
      <w:r>
        <w:rPr>
          <w:rFonts w:ascii="Gentium" w:hAnsi="Gentium" w:cs="Gentium"/>
          <w:sz w:val="24"/>
          <w:szCs w:val="24"/>
        </w:rPr>
      </w:r>
      <w:r>
        <w:rPr>
          <w:rFonts w:ascii="Gentium" w:hAnsi="Gentium" w:cs="Gentium"/>
          <w:sz w:val="24"/>
          <w:szCs w:val="24"/>
        </w:rPr>
      </w:r>
    </w:p>
    <w:p w14:paraId="4604D8F7">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711AFF3">
      <w:pPr>
        <w:pStyle w:val="1711"/>
        <w:pBdr/>
        <w:spacing/>
        <w:ind w:firstLine="0"/>
        <w:rPr>
          <w:rFonts w:ascii="Gentium" w:hAnsi="Gentium" w:cs="Gentium"/>
          <w:sz w:val="24"/>
          <w:szCs w:val="24"/>
        </w:rPr>
      </w:pPr>
      <w:r>
        <w:rPr>
          <w:rFonts w:ascii="Gentium" w:hAnsi="Gentium" w:eastAsia="Gentium" w:cs="Gentium"/>
          <w:sz w:val="24"/>
          <w:szCs w:val="24"/>
        </w:rPr>
        <w:t xml:space="preserve">Concep</w:t>
      </w:r>
      <w:r>
        <w:rPr>
          <w:rFonts w:ascii="Gentium" w:hAnsi="Gentium" w:eastAsia="Gentium" w:cs="Gentium"/>
          <w:sz w:val="24"/>
          <w:szCs w:val="24"/>
        </w:rPr>
        <w:t xml:space="preserve">tul are formulări variate: Împărăţia lui Dumnezeu, Împărăţia cerurilor (Matei), Împărăţia lui Israel (concept mesianic naţionalist iudaic), Împărăţia părintelui nostru David şi Împărăţia care vine (patriotism iudaic la Marcu, dar şi o posibilă corectitudin</w:t>
      </w:r>
      <w:r>
        <w:rPr>
          <w:rFonts w:ascii="Gentium" w:hAnsi="Gentium" w:eastAsia="Gentium" w:cs="Gentium"/>
          <w:sz w:val="24"/>
          <w:szCs w:val="24"/>
        </w:rPr>
        <w:t xml:space="preserve">e</w:t>
      </w:r>
      <w:r>
        <w:rPr>
          <w:rFonts w:ascii="Gentium" w:hAnsi="Gentium" w:eastAsia="Gentium" w:cs="Gentium"/>
          <w:sz w:val="24"/>
          <w:szCs w:val="24"/>
        </w:rPr>
        <w:t xml:space="preserve"> politică în mijlocul Romei). </w:t>
      </w:r>
      <w:r>
        <w:rPr>
          <w:rFonts w:ascii="Gentium" w:hAnsi="Gentium" w:cs="Gentium"/>
          <w:sz w:val="24"/>
          <w:szCs w:val="24"/>
        </w:rPr>
      </w:r>
      <w:r>
        <w:rPr>
          <w:rFonts w:ascii="Gentium" w:hAnsi="Gentium" w:cs="Gentium"/>
          <w:sz w:val="24"/>
          <w:szCs w:val="24"/>
        </w:rPr>
      </w:r>
    </w:p>
    <w:p w14:paraId="468A850F">
      <w:pPr>
        <w:pStyle w:val="1711"/>
        <w:pBdr/>
        <w:spacing/>
        <w:ind w:firstLine="0"/>
        <w:rPr>
          <w:rFonts w:ascii="Gentium" w:hAnsi="Gentium" w:cs="Gentium"/>
          <w:sz w:val="24"/>
          <w:szCs w:val="24"/>
        </w:rPr>
      </w:pP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0F71389D">
      <w:pPr>
        <w:pStyle w:val="1714"/>
        <w:pBdr/>
        <w:spacing/>
        <w:ind/>
        <w:rPr>
          <w:rFonts w:ascii="Gentium" w:hAnsi="Gentium" w:cs="Gentium"/>
          <w:sz w:val="24"/>
          <w:szCs w:val="24"/>
        </w:rPr>
      </w:pPr>
      <w:r>
        <w:rPr>
          <w:rFonts w:ascii="Gentium" w:hAnsi="Gentium" w:eastAsia="Gentium" w:cs="Gentium"/>
          <w:sz w:val="24"/>
          <w:szCs w:val="24"/>
          <w:lang w:val="en-US"/>
        </w:rPr>
        <w:t xml:space="preserve">9</w:t>
      </w:r>
      <w:bookmarkStart w:id="57" w:name="_Toc252991861"/>
      <w:r>
        <w:rPr>
          <w:rFonts w:ascii="Gentium" w:hAnsi="Gentium" w:eastAsia="Gentium" w:cs="Gentium"/>
          <w:sz w:val="24"/>
          <w:szCs w:val="24"/>
          <w:lang w:val="ro-RO"/>
        </w:rPr>
        <w:t xml:space="preserve">.1 </w:t>
      </w:r>
      <w:r>
        <w:rPr>
          <w:rFonts w:ascii="Gentium" w:hAnsi="Gentium" w:eastAsia="Gentium" w:cs="Gentium"/>
          <w:sz w:val="24"/>
          <w:szCs w:val="24"/>
          <w:lang w:val="ro-RO"/>
        </w:rPr>
        <w:t xml:space="preserve">Împărăţia lui Dumnezeu</w:t>
      </w:r>
      <w:r>
        <w:rPr>
          <w:rFonts w:ascii="Gentium" w:hAnsi="Gentium" w:eastAsia="Gentium" w:cs="Gentium"/>
          <w:sz w:val="24"/>
          <w:szCs w:val="24"/>
          <w:lang w:val="ro-RO"/>
        </w:rPr>
        <w:t xml:space="preserve"> şi evangheliile </w:t>
      </w:r>
      <w:r>
        <w:rPr>
          <w:rFonts w:ascii="Gentium" w:hAnsi="Gentium" w:eastAsia="Gentium" w:cs="Gentium"/>
          <w:sz w:val="24"/>
          <w:szCs w:val="24"/>
          <w:lang w:val="ro-RO"/>
        </w:rPr>
        <w:t xml:space="preserve">NT</w:t>
      </w:r>
      <w:bookmarkEnd w:id="57"/>
      <w:r>
        <w:rPr>
          <w:rFonts w:ascii="Gentium" w:hAnsi="Gentium" w:cs="Gentium"/>
          <w:sz w:val="24"/>
          <w:szCs w:val="24"/>
        </w:rPr>
      </w:r>
      <w:r>
        <w:rPr>
          <w:rFonts w:ascii="Gentium" w:hAnsi="Gentium" w:cs="Gentium"/>
          <w:sz w:val="24"/>
          <w:szCs w:val="24"/>
        </w:rPr>
      </w:r>
    </w:p>
    <w:p w14:paraId="77B74D7C">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56CE695C">
      <w:pPr>
        <w:pStyle w:val="1711"/>
        <w:pBdr/>
        <w:spacing/>
        <w:ind w:firstLine="0"/>
        <w:rPr>
          <w:rFonts w:ascii="Gentium" w:hAnsi="Gentium" w:cs="Gentium"/>
          <w:sz w:val="24"/>
          <w:szCs w:val="24"/>
        </w:rPr>
      </w:pPr>
      <w:r>
        <w:rPr>
          <w:rFonts w:ascii="Gentium" w:hAnsi="Gentium" w:eastAsia="Gentium" w:cs="Gentium"/>
          <w:sz w:val="24"/>
          <w:szCs w:val="24"/>
        </w:rPr>
        <w:t xml:space="preserve">Evangheliile</w:t>
      </w:r>
      <w:r>
        <w:rPr>
          <w:rFonts w:ascii="Gentium" w:hAnsi="Gentium" w:eastAsia="Gentium" w:cs="Gentium"/>
          <w:sz w:val="24"/>
          <w:szCs w:val="24"/>
        </w:rPr>
        <w:t xml:space="preserve"> sinoptice cu accent pe ev. După Matei</w:t>
      </w:r>
      <w:r>
        <w:rPr>
          <w:rFonts w:ascii="Gentium" w:hAnsi="Gentium" w:cs="Gentium"/>
          <w:sz w:val="24"/>
          <w:szCs w:val="24"/>
        </w:rPr>
      </w:r>
      <w:r>
        <w:rPr>
          <w:rFonts w:ascii="Gentium" w:hAnsi="Gentium" w:cs="Gentium"/>
          <w:sz w:val="24"/>
          <w:szCs w:val="24"/>
        </w:rPr>
      </w:r>
    </w:p>
    <w:p w14:paraId="3D97E739">
      <w:pPr>
        <w:pStyle w:val="1711"/>
        <w:pBdr/>
        <w:spacing/>
        <w:ind w:firstLine="0"/>
        <w:rPr>
          <w:rFonts w:ascii="Gentium" w:hAnsi="Gentium" w:cs="Gentium"/>
          <w:sz w:val="24"/>
          <w:szCs w:val="24"/>
        </w:rPr>
      </w:pPr>
      <w:r>
        <w:rPr>
          <w:rFonts w:ascii="Gentium" w:hAnsi="Gentium" w:eastAsia="Gentium" w:cs="Gentium"/>
          <w:sz w:val="24"/>
          <w:szCs w:val="24"/>
        </w:rPr>
        <w:t xml:space="preserve">Matei </w:t>
      </w:r>
      <w:r>
        <w:rPr>
          <w:rFonts w:ascii="Gentium" w:hAnsi="Gentium" w:eastAsia="Gentium" w:cs="Gentium"/>
          <w:sz w:val="24"/>
          <w:szCs w:val="24"/>
        </w:rPr>
        <w:tab/>
      </w:r>
      <w:r>
        <w:rPr>
          <w:rFonts w:ascii="Gentium" w:hAnsi="Gentium" w:eastAsia="Gentium" w:cs="Gentium"/>
          <w:sz w:val="24"/>
          <w:szCs w:val="24"/>
        </w:rPr>
        <w:t xml:space="preserve">– împărăţia cerurilor.</w:t>
      </w:r>
      <w:r>
        <w:rPr>
          <w:rFonts w:ascii="Gentium" w:hAnsi="Gentium" w:cs="Gentium"/>
          <w:sz w:val="24"/>
          <w:szCs w:val="24"/>
        </w:rPr>
      </w:r>
      <w:r>
        <w:rPr>
          <w:rFonts w:ascii="Gentium" w:hAnsi="Gentium" w:cs="Gentium"/>
          <w:sz w:val="24"/>
          <w:szCs w:val="24"/>
        </w:rPr>
      </w:r>
    </w:p>
    <w:p w14:paraId="1CB7CDEF">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Predicarea împărăţiei şi a schimbării minţii (metanoia)</w:t>
      </w:r>
      <w:r>
        <w:rPr>
          <w:rFonts w:ascii="Gentium" w:hAnsi="Gentium" w:cs="Gentium"/>
          <w:sz w:val="24"/>
          <w:szCs w:val="24"/>
        </w:rPr>
      </w:r>
      <w:r>
        <w:rPr>
          <w:rFonts w:ascii="Gentium" w:hAnsi="Gentium" w:cs="Gentium"/>
          <w:sz w:val="24"/>
          <w:szCs w:val="24"/>
        </w:rPr>
      </w:r>
    </w:p>
    <w:p w14:paraId="259E7E09">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Is</w:t>
      </w:r>
      <w:r>
        <w:rPr>
          <w:rFonts w:ascii="Gentium" w:hAnsi="Gentium" w:eastAsia="Gentium" w:cs="Gentium"/>
          <w:sz w:val="24"/>
          <w:szCs w:val="24"/>
        </w:rPr>
        <w:t xml:space="preserve">pitirea lui Isus şi stăpânirea împărăţiilor pământului</w:t>
      </w:r>
      <w:r>
        <w:rPr>
          <w:rFonts w:ascii="Gentium" w:hAnsi="Gentium" w:cs="Gentium"/>
          <w:sz w:val="24"/>
          <w:szCs w:val="24"/>
        </w:rPr>
      </w:r>
      <w:r>
        <w:rPr>
          <w:rFonts w:ascii="Gentium" w:hAnsi="Gentium" w:cs="Gentium"/>
          <w:sz w:val="24"/>
          <w:szCs w:val="24"/>
        </w:rPr>
      </w:r>
    </w:p>
    <w:p w14:paraId="32DCCC17">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Etica împărăţiei, cap. 5-7</w:t>
      </w:r>
      <w:r>
        <w:rPr>
          <w:rFonts w:ascii="Gentium" w:hAnsi="Gentium" w:cs="Gentium"/>
          <w:sz w:val="24"/>
          <w:szCs w:val="24"/>
        </w:rPr>
      </w:r>
      <w:r>
        <w:rPr>
          <w:rFonts w:ascii="Gentium" w:hAnsi="Gentium" w:cs="Gentium"/>
          <w:sz w:val="24"/>
          <w:szCs w:val="24"/>
        </w:rPr>
      </w:r>
    </w:p>
    <w:p w14:paraId="767FE3C2">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Parabolele împărăţiei - I, cap. 13</w:t>
      </w:r>
      <w:r>
        <w:rPr>
          <w:rFonts w:ascii="Gentium" w:hAnsi="Gentium" w:cs="Gentium"/>
          <w:sz w:val="24"/>
          <w:szCs w:val="24"/>
        </w:rPr>
      </w:r>
      <w:r>
        <w:rPr>
          <w:rFonts w:ascii="Gentium" w:hAnsi="Gentium" w:cs="Gentium"/>
          <w:sz w:val="24"/>
          <w:szCs w:val="24"/>
        </w:rPr>
      </w:r>
    </w:p>
    <w:p w14:paraId="1F862EB6">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Parabolele împărăţiei – II, cap. 25</w:t>
      </w:r>
      <w:r>
        <w:rPr>
          <w:rFonts w:ascii="Gentium" w:hAnsi="Gentium" w:cs="Gentium"/>
          <w:sz w:val="24"/>
          <w:szCs w:val="24"/>
        </w:rPr>
      </w:r>
      <w:r>
        <w:rPr>
          <w:rFonts w:ascii="Gentium" w:hAnsi="Gentium" w:cs="Gentium"/>
          <w:sz w:val="24"/>
          <w:szCs w:val="24"/>
        </w:rPr>
      </w:r>
    </w:p>
    <w:p w14:paraId="0BCC6EC4">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Condiţii de intrare în împărăţie</w:t>
      </w:r>
      <w:r>
        <w:rPr>
          <w:rFonts w:ascii="Gentium" w:hAnsi="Gentium" w:cs="Gentium"/>
          <w:sz w:val="24"/>
          <w:szCs w:val="24"/>
        </w:rPr>
      </w:r>
      <w:r>
        <w:rPr>
          <w:rFonts w:ascii="Gentium" w:hAnsi="Gentium" w:cs="Gentium"/>
          <w:sz w:val="24"/>
          <w:szCs w:val="24"/>
        </w:rPr>
      </w:r>
    </w:p>
    <w:p w14:paraId="5E5CAE94">
      <w:pPr>
        <w:pStyle w:val="1711"/>
        <w:numPr>
          <w:ilvl w:val="1"/>
          <w:numId w:val="10"/>
        </w:numPr>
        <w:pBdr/>
        <w:spacing/>
        <w:ind/>
        <w:rPr>
          <w:rFonts w:ascii="Gentium" w:hAnsi="Gentium" w:cs="Gentium"/>
          <w:sz w:val="24"/>
          <w:szCs w:val="24"/>
        </w:rPr>
      </w:pPr>
      <w:r>
        <w:rPr>
          <w:rFonts w:ascii="Gentium" w:hAnsi="Gentium" w:eastAsia="Gentium" w:cs="Gentium"/>
          <w:sz w:val="24"/>
          <w:szCs w:val="24"/>
        </w:rPr>
        <w:t xml:space="preserve">Cine este smerit ca un copil (cap. 18)</w:t>
      </w:r>
      <w:r>
        <w:rPr>
          <w:rFonts w:ascii="Gentium" w:hAnsi="Gentium" w:cs="Gentium"/>
          <w:sz w:val="24"/>
          <w:szCs w:val="24"/>
        </w:rPr>
      </w:r>
      <w:r>
        <w:rPr>
          <w:rFonts w:ascii="Gentium" w:hAnsi="Gentium" w:cs="Gentium"/>
          <w:sz w:val="24"/>
          <w:szCs w:val="24"/>
        </w:rPr>
      </w:r>
    </w:p>
    <w:p w14:paraId="24256DF9">
      <w:pPr>
        <w:pStyle w:val="1711"/>
        <w:numPr>
          <w:ilvl w:val="1"/>
          <w:numId w:val="10"/>
        </w:numPr>
        <w:pBdr/>
        <w:spacing/>
        <w:ind/>
        <w:rPr>
          <w:rFonts w:ascii="Gentium" w:hAnsi="Gentium" w:cs="Gentium"/>
          <w:sz w:val="24"/>
          <w:szCs w:val="24"/>
        </w:rPr>
      </w:pPr>
      <w:r>
        <w:rPr>
          <w:rFonts w:ascii="Gentium" w:hAnsi="Gentium" w:eastAsia="Gentium" w:cs="Gentium"/>
          <w:sz w:val="24"/>
          <w:szCs w:val="24"/>
        </w:rPr>
        <w:t xml:space="preserve">Cine se sileşte sau se străduieşte (</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1D949EE5">
      <w:pPr>
        <w:pStyle w:val="1711"/>
        <w:numPr>
          <w:ilvl w:val="1"/>
          <w:numId w:val="10"/>
        </w:numPr>
        <w:pBdr/>
        <w:spacing/>
        <w:ind/>
        <w:rPr>
          <w:rFonts w:ascii="Gentium" w:hAnsi="Gentium" w:cs="Gentium"/>
          <w:sz w:val="24"/>
          <w:szCs w:val="24"/>
        </w:rPr>
      </w:pPr>
      <w:r>
        <w:rPr>
          <w:rFonts w:ascii="Gentium" w:hAnsi="Gentium" w:eastAsia="Gentium" w:cs="Gentium"/>
          <w:sz w:val="24"/>
          <w:szCs w:val="24"/>
        </w:rPr>
        <w:t xml:space="preserve">Cine este sărac în Duhul</w:t>
      </w:r>
      <w:r>
        <w:rPr>
          <w:rFonts w:ascii="Gentium" w:hAnsi="Gentium" w:cs="Gentium"/>
          <w:sz w:val="24"/>
          <w:szCs w:val="24"/>
        </w:rPr>
      </w:r>
      <w:r>
        <w:rPr>
          <w:rFonts w:ascii="Gentium" w:hAnsi="Gentium" w:cs="Gentium"/>
          <w:sz w:val="24"/>
          <w:szCs w:val="24"/>
        </w:rPr>
      </w:r>
    </w:p>
    <w:p w14:paraId="475657FD">
      <w:pPr>
        <w:pStyle w:val="1711"/>
        <w:pBdr/>
        <w:spacing/>
        <w:ind w:firstLine="0" w:left="180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BAD30C2">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Petru şi cheile împărăţiei (cap. 16, 18)</w:t>
      </w:r>
      <w:r>
        <w:rPr>
          <w:rFonts w:ascii="Gentium" w:hAnsi="Gentium" w:cs="Gentium"/>
          <w:sz w:val="24"/>
          <w:szCs w:val="24"/>
        </w:rPr>
      </w:r>
      <w:r>
        <w:rPr>
          <w:rFonts w:ascii="Gentium" w:hAnsi="Gentium" w:cs="Gentium"/>
          <w:sz w:val="24"/>
          <w:szCs w:val="24"/>
        </w:rPr>
      </w:r>
    </w:p>
    <w:p w14:paraId="161180D5">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Taxele:</w:t>
      </w:r>
      <w:r>
        <w:rPr>
          <w:rFonts w:ascii="Gentium" w:hAnsi="Gentium" w:eastAsia="Gentium" w:cs="Gentium"/>
          <w:sz w:val="24"/>
          <w:szCs w:val="24"/>
        </w:rPr>
        <w:t xml:space="preserve"> Isus şi împărăţia la limită (C</w:t>
      </w:r>
      <w:r>
        <w:rPr>
          <w:rFonts w:ascii="Gentium" w:hAnsi="Gentium" w:eastAsia="Gentium" w:cs="Gentium"/>
          <w:sz w:val="24"/>
          <w:szCs w:val="24"/>
        </w:rPr>
        <w:t xml:space="preserve">ezar)</w:t>
      </w:r>
      <w:r>
        <w:rPr>
          <w:rFonts w:ascii="Gentium" w:hAnsi="Gentium" w:cs="Gentium"/>
          <w:sz w:val="24"/>
          <w:szCs w:val="24"/>
        </w:rPr>
      </w:r>
      <w:r>
        <w:rPr>
          <w:rFonts w:ascii="Gentium" w:hAnsi="Gentium" w:cs="Gentium"/>
          <w:sz w:val="24"/>
          <w:szCs w:val="24"/>
        </w:rPr>
      </w:r>
    </w:p>
    <w:p w14:paraId="44B2A8D2">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53255203">
      <w:pPr>
        <w:pStyle w:val="1711"/>
        <w:pBdr/>
        <w:spacing/>
        <w:ind w:firstLine="0"/>
        <w:rPr>
          <w:rFonts w:ascii="Gentium" w:hAnsi="Gentium" w:cs="Gentium"/>
          <w:sz w:val="24"/>
          <w:szCs w:val="24"/>
        </w:rPr>
      </w:pPr>
      <w:r>
        <w:rPr>
          <w:rFonts w:ascii="Gentium" w:hAnsi="Gentium" w:eastAsia="Gentium" w:cs="Gentium"/>
          <w:sz w:val="24"/>
          <w:szCs w:val="24"/>
        </w:rPr>
        <w:t xml:space="preserve">Ioan:</w:t>
      </w:r>
      <w:r>
        <w:rPr>
          <w:rFonts w:ascii="Gentium" w:hAnsi="Gentium" w:cs="Gentium"/>
          <w:sz w:val="24"/>
          <w:szCs w:val="24"/>
        </w:rPr>
      </w:r>
      <w:r>
        <w:rPr>
          <w:rFonts w:ascii="Gentium" w:hAnsi="Gentium" w:cs="Gentium"/>
          <w:sz w:val="24"/>
          <w:szCs w:val="24"/>
        </w:rPr>
      </w:r>
    </w:p>
    <w:p w14:paraId="59CE859C">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Isus</w:t>
      </w:r>
      <w:r>
        <w:rPr>
          <w:rFonts w:ascii="Gentium" w:hAnsi="Gentium" w:cs="Gentium"/>
          <w:sz w:val="24"/>
          <w:szCs w:val="24"/>
        </w:rPr>
      </w:r>
      <w:r>
        <w:rPr>
          <w:rFonts w:ascii="Gentium" w:hAnsi="Gentium" w:cs="Gentium"/>
          <w:sz w:val="24"/>
          <w:szCs w:val="24"/>
        </w:rPr>
      </w:r>
    </w:p>
    <w:p w14:paraId="56CF92B8">
      <w:pPr>
        <w:pStyle w:val="1711"/>
        <w:numPr>
          <w:ilvl w:val="1"/>
          <w:numId w:val="10"/>
        </w:numPr>
        <w:pBdr/>
        <w:spacing/>
        <w:ind/>
        <w:rPr>
          <w:rFonts w:ascii="Gentium" w:hAnsi="Gentium" w:cs="Gentium"/>
          <w:sz w:val="24"/>
          <w:szCs w:val="24"/>
        </w:rPr>
      </w:pPr>
      <w:r>
        <w:rPr>
          <w:rFonts w:ascii="Gentium" w:hAnsi="Gentium" w:eastAsia="Gentium" w:cs="Gentium"/>
          <w:sz w:val="24"/>
          <w:szCs w:val="24"/>
        </w:rPr>
        <w:t xml:space="preserve">Natanael şi Isus, împăratul (1.47)</w:t>
      </w:r>
      <w:r>
        <w:rPr>
          <w:rFonts w:ascii="Gentium" w:hAnsi="Gentium" w:cs="Gentium"/>
          <w:sz w:val="24"/>
          <w:szCs w:val="24"/>
        </w:rPr>
      </w:r>
      <w:r>
        <w:rPr>
          <w:rFonts w:ascii="Gentium" w:hAnsi="Gentium" w:cs="Gentium"/>
          <w:sz w:val="24"/>
          <w:szCs w:val="24"/>
        </w:rPr>
      </w:r>
    </w:p>
    <w:p w14:paraId="2F223240">
      <w:pPr>
        <w:pStyle w:val="1711"/>
        <w:numPr>
          <w:ilvl w:val="1"/>
          <w:numId w:val="10"/>
        </w:numPr>
        <w:pBdr/>
        <w:spacing/>
        <w:ind/>
        <w:rPr>
          <w:rFonts w:ascii="Gentium" w:hAnsi="Gentium" w:cs="Gentium"/>
          <w:sz w:val="24"/>
          <w:szCs w:val="24"/>
        </w:rPr>
      </w:pPr>
      <w:r>
        <w:rPr>
          <w:rFonts w:ascii="Gentium" w:hAnsi="Gentium" w:eastAsia="Gentium" w:cs="Gentium"/>
          <w:sz w:val="24"/>
          <w:szCs w:val="24"/>
        </w:rPr>
        <w:t xml:space="preserve">Isus şi Nicodim şi condiţiile intrării în împărăţie</w:t>
      </w:r>
      <w:r>
        <w:rPr>
          <w:rFonts w:ascii="Gentium" w:hAnsi="Gentium" w:cs="Gentium"/>
          <w:sz w:val="24"/>
          <w:szCs w:val="24"/>
        </w:rPr>
      </w:r>
      <w:r>
        <w:rPr>
          <w:rFonts w:ascii="Gentium" w:hAnsi="Gentium" w:cs="Gentium"/>
          <w:sz w:val="24"/>
          <w:szCs w:val="24"/>
        </w:rPr>
      </w:r>
    </w:p>
    <w:p w14:paraId="208179B2">
      <w:pPr>
        <w:pStyle w:val="1711"/>
        <w:numPr>
          <w:ilvl w:val="2"/>
          <w:numId w:val="10"/>
        </w:numPr>
        <w:pBdr/>
        <w:spacing/>
        <w:ind/>
        <w:rPr>
          <w:rFonts w:ascii="Gentium" w:hAnsi="Gentium" w:cs="Gentium"/>
          <w:sz w:val="24"/>
          <w:szCs w:val="24"/>
        </w:rPr>
      </w:pPr>
      <w:r>
        <w:rPr>
          <w:rFonts w:ascii="Gentium" w:hAnsi="Gentium" w:eastAsia="Gentium" w:cs="Gentium"/>
          <w:sz w:val="24"/>
          <w:szCs w:val="24"/>
        </w:rPr>
        <w:t xml:space="preserve">Naşterea de sus</w:t>
      </w:r>
      <w:r>
        <w:rPr>
          <w:rFonts w:ascii="Gentium" w:hAnsi="Gentium" w:cs="Gentium"/>
          <w:sz w:val="24"/>
          <w:szCs w:val="24"/>
        </w:rPr>
      </w:r>
      <w:r>
        <w:rPr>
          <w:rFonts w:ascii="Gentium" w:hAnsi="Gentium" w:cs="Gentium"/>
          <w:sz w:val="24"/>
          <w:szCs w:val="24"/>
        </w:rPr>
      </w:r>
    </w:p>
    <w:p w14:paraId="5111AEBD">
      <w:pPr>
        <w:pStyle w:val="1711"/>
        <w:numPr>
          <w:ilvl w:val="2"/>
          <w:numId w:val="10"/>
        </w:numPr>
        <w:pBdr/>
        <w:spacing/>
        <w:ind/>
        <w:rPr>
          <w:rFonts w:ascii="Gentium" w:hAnsi="Gentium" w:cs="Gentium"/>
          <w:sz w:val="24"/>
          <w:szCs w:val="24"/>
        </w:rPr>
      </w:pPr>
      <w:r>
        <w:rPr>
          <w:rFonts w:ascii="Gentium" w:hAnsi="Gentium" w:eastAsia="Gentium" w:cs="Gentium"/>
          <w:sz w:val="24"/>
          <w:szCs w:val="24"/>
        </w:rPr>
        <w:t xml:space="preserve">Naşterea din duhul</w:t>
      </w:r>
      <w:r>
        <w:rPr>
          <w:rFonts w:ascii="Gentium" w:hAnsi="Gentium" w:cs="Gentium"/>
          <w:sz w:val="24"/>
          <w:szCs w:val="24"/>
        </w:rPr>
      </w:r>
      <w:r>
        <w:rPr>
          <w:rFonts w:ascii="Gentium" w:hAnsi="Gentium" w:cs="Gentium"/>
          <w:sz w:val="24"/>
          <w:szCs w:val="24"/>
        </w:rPr>
      </w:r>
    </w:p>
    <w:p w14:paraId="12A629C6">
      <w:pPr>
        <w:pStyle w:val="1711"/>
        <w:numPr>
          <w:ilvl w:val="2"/>
          <w:numId w:val="10"/>
        </w:numPr>
        <w:pBdr/>
        <w:spacing/>
        <w:ind/>
        <w:rPr>
          <w:rFonts w:ascii="Gentium" w:hAnsi="Gentium" w:cs="Gentium"/>
          <w:sz w:val="24"/>
          <w:szCs w:val="24"/>
        </w:rPr>
      </w:pPr>
      <w:r>
        <w:rPr>
          <w:rFonts w:ascii="Gentium" w:hAnsi="Gentium" w:eastAsia="Gentium" w:cs="Gentium"/>
          <w:sz w:val="24"/>
          <w:szCs w:val="24"/>
        </w:rPr>
        <w:t xml:space="preserve">Naşterea din apă (botezul)</w:t>
      </w:r>
      <w:r>
        <w:rPr>
          <w:rFonts w:ascii="Gentium" w:hAnsi="Gentium" w:cs="Gentium"/>
          <w:sz w:val="24"/>
          <w:szCs w:val="24"/>
        </w:rPr>
      </w:r>
      <w:r>
        <w:rPr>
          <w:rFonts w:ascii="Gentium" w:hAnsi="Gentium" w:cs="Gentium"/>
          <w:sz w:val="24"/>
          <w:szCs w:val="24"/>
        </w:rPr>
      </w:r>
    </w:p>
    <w:p w14:paraId="5667662B">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w:t>
      </w:r>
      <w:r>
        <w:rPr>
          <w:rFonts w:ascii="Gentium" w:hAnsi="Gentium" w:eastAsia="Gentium" w:cs="Gentium"/>
          <w:sz w:val="24"/>
          <w:szCs w:val="24"/>
        </w:rPr>
        <w:t xml:space="preserve">ărăţia şi discuţia lui Isus cu Pilat</w:t>
      </w:r>
      <w:r>
        <w:rPr>
          <w:rFonts w:ascii="Gentium" w:hAnsi="Gentium" w:cs="Gentium"/>
          <w:sz w:val="24"/>
          <w:szCs w:val="24"/>
        </w:rPr>
      </w:r>
      <w:r>
        <w:rPr>
          <w:rFonts w:ascii="Gentium" w:hAnsi="Gentium" w:cs="Gentium"/>
          <w:sz w:val="24"/>
          <w:szCs w:val="24"/>
        </w:rPr>
      </w:r>
    </w:p>
    <w:p w14:paraId="3B7329FF">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şi condamnarea lui Isus (crucea, discuţiile dintre Pilat şi conducătorii iudei)</w:t>
      </w:r>
      <w:r>
        <w:rPr>
          <w:rFonts w:ascii="Gentium" w:hAnsi="Gentium" w:cs="Gentium"/>
          <w:sz w:val="24"/>
          <w:szCs w:val="24"/>
        </w:rPr>
      </w:r>
      <w:r>
        <w:rPr>
          <w:rFonts w:ascii="Gentium" w:hAnsi="Gentium" w:cs="Gentium"/>
          <w:sz w:val="24"/>
          <w:szCs w:val="24"/>
        </w:rPr>
      </w:r>
    </w:p>
    <w:p w14:paraId="3A75C4AE">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64E1DBCB">
      <w:pPr>
        <w:pStyle w:val="1711"/>
        <w:pBdr/>
        <w:spacing/>
        <w:ind w:firstLine="0" w:left="1080"/>
        <w:rPr>
          <w:rFonts w:ascii="Gentium" w:hAnsi="Gentium" w:cs="Gentium"/>
          <w:sz w:val="24"/>
          <w:szCs w:val="24"/>
        </w:rPr>
      </w:pPr>
      <w:r>
        <w:rPr>
          <w:rFonts w:ascii="Gentium" w:hAnsi="Gentium" w:eastAsia="Gentium" w:cs="Gentium"/>
          <w:sz w:val="24"/>
          <w:szCs w:val="24"/>
        </w:rPr>
        <w:t xml:space="preserve">Apocalipsa:</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58234D0D">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Babilonul</w:t>
      </w:r>
      <w:r>
        <w:rPr>
          <w:rFonts w:ascii="Gentium" w:hAnsi="Gentium" w:eastAsia="Gentium" w:cs="Gentium"/>
          <w:sz w:val="24"/>
          <w:szCs w:val="24"/>
        </w:rPr>
        <w:t xml:space="preserve"> (cf. </w:t>
      </w:r>
      <w:r>
        <w:rPr>
          <w:rFonts w:ascii="Gentium" w:hAnsi="Gentium" w:eastAsia="Gentium" w:cs="Gentium"/>
          <w:sz w:val="24"/>
          <w:szCs w:val="24"/>
        </w:rPr>
        <w:t xml:space="preserve">cartea profetului </w:t>
      </w:r>
      <w:r>
        <w:rPr>
          <w:rFonts w:ascii="Gentium" w:hAnsi="Gentium" w:eastAsia="Gentium" w:cs="Gentium"/>
          <w:sz w:val="24"/>
          <w:szCs w:val="24"/>
        </w:rPr>
        <w:t xml:space="preserve">Daniel).</w:t>
      </w:r>
      <w:r>
        <w:rPr>
          <w:rFonts w:ascii="Gentium" w:hAnsi="Gentium" w:cs="Gentium"/>
          <w:sz w:val="24"/>
          <w:szCs w:val="24"/>
        </w:rPr>
      </w:r>
      <w:r>
        <w:rPr>
          <w:rFonts w:ascii="Gentium" w:hAnsi="Gentium" w:cs="Gentium"/>
          <w:sz w:val="24"/>
          <w:szCs w:val="24"/>
        </w:rPr>
      </w:r>
    </w:p>
    <w:p w14:paraId="0B130E6F">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Babilonul ca paradigmă a împărăţiei antihristice</w:t>
      </w:r>
      <w:r>
        <w:rPr>
          <w:rFonts w:ascii="Gentium" w:hAnsi="Gentium" w:cs="Gentium"/>
          <w:sz w:val="24"/>
          <w:szCs w:val="24"/>
        </w:rPr>
      </w:r>
      <w:r>
        <w:rPr>
          <w:rFonts w:ascii="Gentium" w:hAnsi="Gentium" w:cs="Gentium"/>
          <w:sz w:val="24"/>
          <w:szCs w:val="24"/>
        </w:rPr>
      </w:r>
    </w:p>
    <w:p w14:paraId="3CD906DF">
      <w:pPr>
        <w:pStyle w:val="1711"/>
        <w:pBdr/>
        <w:spacing/>
        <w:ind w:firstLine="0" w:left="1080"/>
        <w:rPr>
          <w:rFonts w:ascii="Gentium" w:hAnsi="Gentium" w:cs="Gentium"/>
          <w:sz w:val="24"/>
          <w:szCs w:val="24"/>
        </w:rPr>
      </w:pPr>
      <w:r>
        <w:rPr>
          <w:rFonts w:ascii="Gentium" w:hAnsi="Gentium" w:eastAsia="Gentium" w:cs="Gentium"/>
          <w:sz w:val="24"/>
          <w:szCs w:val="24"/>
        </w:rPr>
        <w:t xml:space="preserve">(capitala </w:t>
      </w:r>
      <w:r>
        <w:rPr>
          <w:rFonts w:ascii="Gentium" w:hAnsi="Gentium" w:eastAsia="Gentium" w:cs="Gentium"/>
          <w:sz w:val="24"/>
          <w:szCs w:val="24"/>
        </w:rPr>
        <w:t xml:space="preserve">de </w:t>
      </w:r>
      <w:r>
        <w:rPr>
          <w:rFonts w:ascii="Gentium" w:hAnsi="Gentium" w:eastAsia="Gentium" w:cs="Gentium"/>
          <w:sz w:val="24"/>
          <w:szCs w:val="24"/>
        </w:rPr>
        <w:t xml:space="preserve">lângă râu, cu templu sau </w:t>
      </w:r>
      <w:r>
        <w:rPr>
          <w:rFonts w:ascii="Gentium" w:hAnsi="Gentium" w:eastAsia="Gentium" w:cs="Gentium"/>
          <w:sz w:val="24"/>
          <w:szCs w:val="24"/>
        </w:rPr>
        <w:t xml:space="preserve">cu </w:t>
      </w:r>
      <w:r>
        <w:rPr>
          <w:rFonts w:ascii="Gentium" w:hAnsi="Gentium" w:eastAsia="Gentium" w:cs="Gentium"/>
          <w:sz w:val="24"/>
          <w:szCs w:val="24"/>
        </w:rPr>
        <w:t xml:space="preserve">simbolul puterii în centru; imperiul unificator, bazat pe o cultură unică şi pe performanţe tehnologice).</w:t>
      </w:r>
      <w:r>
        <w:rPr>
          <w:rFonts w:ascii="Gentium" w:hAnsi="Gentium" w:cs="Gentium"/>
          <w:sz w:val="24"/>
          <w:szCs w:val="24"/>
        </w:rPr>
      </w:r>
      <w:r>
        <w:rPr>
          <w:rFonts w:ascii="Gentium" w:hAnsi="Gentium" w:cs="Gentium"/>
          <w:sz w:val="24"/>
          <w:szCs w:val="24"/>
        </w:rPr>
      </w:r>
    </w:p>
    <w:p w14:paraId="46178FE3">
      <w:pPr>
        <w:pStyle w:val="1711"/>
        <w:pBdr/>
        <w:spacing/>
        <w:ind w:firstLine="0" w:left="1080"/>
        <w:rPr>
          <w:rFonts w:ascii="Gentium" w:hAnsi="Gentium" w:cs="Gentium"/>
          <w:sz w:val="24"/>
          <w:szCs w:val="24"/>
        </w:rPr>
      </w:pPr>
      <w:r>
        <w:rPr>
          <w:rFonts w:ascii="Gentium" w:hAnsi="Gentium" w:eastAsia="Gentium" w:cs="Gentium"/>
          <w:sz w:val="24"/>
          <w:szCs w:val="24"/>
        </w:rPr>
        <w:t xml:space="preserve">Babilon şi </w:t>
      </w:r>
      <w:r>
        <w:rPr>
          <w:rFonts w:ascii="Gentium" w:hAnsi="Gentium" w:eastAsia="Gentium" w:cs="Gentium"/>
          <w:sz w:val="24"/>
          <w:szCs w:val="24"/>
        </w:rPr>
        <w:t xml:space="preserve">Ierusalim, în Apocalipsa</w:t>
      </w:r>
      <w:r>
        <w:rPr>
          <w:rFonts w:ascii="Gentium" w:hAnsi="Gentium" w:cs="Gentium"/>
          <w:sz w:val="24"/>
          <w:szCs w:val="24"/>
        </w:rPr>
      </w:r>
      <w:r>
        <w:rPr>
          <w:rFonts w:ascii="Gentium" w:hAnsi="Gentium" w:cs="Gentium"/>
          <w:sz w:val="24"/>
          <w:szCs w:val="24"/>
        </w:rPr>
      </w:r>
    </w:p>
    <w:p w14:paraId="286727A5">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destinul regal al creştinilor: </w:t>
      </w:r>
      <w:r>
        <w:rPr>
          <w:rFonts w:ascii="Gentium" w:hAnsi="Gentium" w:eastAsia="Gentium" w:cs="Gentium"/>
          <w:sz w:val="24"/>
          <w:szCs w:val="24"/>
        </w:rPr>
        <w:t xml:space="preserve">Apoc. 1.6; 5.10; </w:t>
      </w:r>
      <w:r>
        <w:rPr>
          <w:rFonts w:ascii="Gentium" w:hAnsi="Gentium" w:eastAsia="Gentium" w:cs="Gentium"/>
          <w:sz w:val="24"/>
          <w:szCs w:val="24"/>
        </w:rPr>
        <w:t xml:space="preserve">20.6;</w:t>
      </w:r>
      <w:r>
        <w:rPr>
          <w:rFonts w:ascii="Gentium" w:hAnsi="Gentium" w:eastAsia="Gentium" w:cs="Gentium"/>
          <w:sz w:val="24"/>
          <w:szCs w:val="24"/>
        </w:rPr>
        <w:t xml:space="preserve"> </w:t>
      </w:r>
      <w:r>
        <w:rPr>
          <w:rFonts w:ascii="Gentium" w:hAnsi="Gentium" w:eastAsia="Gentium" w:cs="Gentium"/>
          <w:sz w:val="24"/>
          <w:szCs w:val="24"/>
        </w:rPr>
        <w:t xml:space="preserve">21.24 (?); </w:t>
      </w:r>
      <w:r>
        <w:rPr>
          <w:rFonts w:ascii="Gentium" w:hAnsi="Gentium" w:eastAsia="Gentium" w:cs="Gentium"/>
          <w:sz w:val="24"/>
          <w:szCs w:val="24"/>
        </w:rPr>
        <w:t xml:space="preserve">22.5.</w:t>
      </w:r>
      <w:r>
        <w:rPr>
          <w:rFonts w:ascii="Gentium" w:hAnsi="Gentium" w:cs="Gentium"/>
          <w:sz w:val="24"/>
          <w:szCs w:val="24"/>
        </w:rPr>
      </w:r>
      <w:r>
        <w:rPr>
          <w:rFonts w:ascii="Gentium" w:hAnsi="Gentium" w:cs="Gentium"/>
          <w:sz w:val="24"/>
          <w:szCs w:val="24"/>
        </w:rPr>
      </w:r>
    </w:p>
    <w:p w14:paraId="06AD61D1">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a lui Hristos, </w:t>
      </w:r>
      <w:r>
        <w:rPr>
          <w:rFonts w:ascii="Gentium" w:hAnsi="Gentium" w:eastAsia="Gentium" w:cs="Gentium"/>
          <w:sz w:val="24"/>
          <w:szCs w:val="24"/>
        </w:rPr>
        <w:t xml:space="preserve">Apoc. 12.10; </w:t>
      </w:r>
      <w:r>
        <w:rPr>
          <w:rFonts w:ascii="Gentium" w:hAnsi="Gentium" w:eastAsia="Gentium" w:cs="Gentium"/>
          <w:sz w:val="24"/>
          <w:szCs w:val="24"/>
        </w:rPr>
        <w:t xml:space="preserve">15.3; </w:t>
      </w:r>
      <w:r>
        <w:rPr>
          <w:rFonts w:ascii="Gentium" w:hAnsi="Gentium" w:eastAsia="Gentium" w:cs="Gentium"/>
          <w:sz w:val="24"/>
          <w:szCs w:val="24"/>
        </w:rPr>
        <w:t xml:space="preserve">19.16; </w:t>
      </w:r>
      <w:r>
        <w:rPr>
          <w:rFonts w:ascii="Gentium" w:hAnsi="Gentium" w:eastAsia="Gentium" w:cs="Gentium"/>
          <w:sz w:val="24"/>
          <w:szCs w:val="24"/>
        </w:rPr>
        <w:t xml:space="preserve">20.6; </w:t>
      </w:r>
      <w:r>
        <w:rPr>
          <w:rFonts w:ascii="Gentium" w:hAnsi="Gentium" w:eastAsia="Gentium" w:cs="Gentium"/>
          <w:sz w:val="24"/>
          <w:szCs w:val="24"/>
        </w:rPr>
        <w:t xml:space="preserve">22.5.</w:t>
      </w:r>
      <w:r>
        <w:rPr>
          <w:rFonts w:ascii="Gentium" w:hAnsi="Gentium" w:cs="Gentium"/>
          <w:sz w:val="24"/>
          <w:szCs w:val="24"/>
        </w:rPr>
      </w:r>
      <w:r>
        <w:rPr>
          <w:rFonts w:ascii="Gentium" w:hAnsi="Gentium" w:cs="Gentium"/>
          <w:sz w:val="24"/>
          <w:szCs w:val="24"/>
        </w:rPr>
      </w:r>
    </w:p>
    <w:p w14:paraId="07E51452">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Cf. împărăţia fiarei, 16.2; </w:t>
      </w:r>
      <w:r>
        <w:rPr>
          <w:rFonts w:ascii="Gentium" w:hAnsi="Gentium" w:eastAsia="Gentium" w:cs="Gentium"/>
          <w:sz w:val="24"/>
          <w:szCs w:val="24"/>
        </w:rPr>
        <w:t xml:space="preserve">16.4; 17.2; </w:t>
      </w:r>
      <w:r>
        <w:rPr>
          <w:rFonts w:ascii="Gentium" w:hAnsi="Gentium" w:eastAsia="Gentium" w:cs="Gentium"/>
          <w:sz w:val="24"/>
          <w:szCs w:val="24"/>
        </w:rPr>
        <w:t xml:space="preserve">17.9; </w:t>
      </w:r>
      <w:r>
        <w:rPr>
          <w:rFonts w:ascii="Gentium" w:hAnsi="Gentium" w:eastAsia="Gentium" w:cs="Gentium"/>
          <w:sz w:val="24"/>
          <w:szCs w:val="24"/>
        </w:rPr>
        <w:t xml:space="preserve">17.12-18 (prostituata cea mare).</w:t>
      </w:r>
      <w:r>
        <w:rPr>
          <w:rFonts w:ascii="Gentium" w:hAnsi="Gentium" w:cs="Gentium"/>
          <w:sz w:val="24"/>
          <w:szCs w:val="24"/>
        </w:rPr>
      </w:r>
      <w:r>
        <w:rPr>
          <w:rFonts w:ascii="Gentium" w:hAnsi="Gentium" w:cs="Gentium"/>
          <w:sz w:val="24"/>
          <w:szCs w:val="24"/>
        </w:rPr>
      </w:r>
    </w:p>
    <w:p w14:paraId="6420ADCA">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5DC588C">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BEA72D4">
      <w:pPr>
        <w:pStyle w:val="1714"/>
        <w:pBdr/>
        <w:spacing/>
        <w:ind/>
        <w:rPr>
          <w:rFonts w:ascii="Gentium" w:hAnsi="Gentium" w:cs="Gentium"/>
          <w:sz w:val="24"/>
          <w:szCs w:val="24"/>
        </w:rPr>
      </w:pPr>
      <w:r>
        <w:rPr>
          <w:rFonts w:ascii="Gentium" w:hAnsi="Gentium" w:eastAsia="Gentium" w:cs="Gentium"/>
          <w:sz w:val="24"/>
          <w:szCs w:val="24"/>
          <w:lang w:val="en-US"/>
        </w:rPr>
        <w:t xml:space="preserve">9</w:t>
      </w:r>
      <w:bookmarkStart w:id="58" w:name="_Toc252991862"/>
      <w:r>
        <w:rPr>
          <w:rFonts w:ascii="Gentium" w:hAnsi="Gentium" w:eastAsia="Gentium" w:cs="Gentium"/>
          <w:sz w:val="24"/>
          <w:szCs w:val="24"/>
          <w:lang w:val="ro-RO"/>
        </w:rPr>
        <w:t xml:space="preserve">.2 Împărăţia lui Dumnezeu şi epistolele NT</w:t>
      </w:r>
      <w:bookmarkEnd w:id="58"/>
      <w:r>
        <w:rPr>
          <w:rFonts w:ascii="Gentium" w:hAnsi="Gentium" w:cs="Gentium"/>
          <w:sz w:val="24"/>
          <w:szCs w:val="24"/>
        </w:rPr>
      </w:r>
      <w:r>
        <w:rPr>
          <w:rFonts w:ascii="Gentium" w:hAnsi="Gentium" w:cs="Gentium"/>
          <w:sz w:val="24"/>
          <w:szCs w:val="24"/>
        </w:rPr>
      </w:r>
    </w:p>
    <w:p w14:paraId="7C844EE5">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9513CDC">
      <w:pPr>
        <w:pStyle w:val="1711"/>
        <w:pBdr/>
        <w:spacing/>
        <w:ind w:firstLine="0"/>
        <w:rPr>
          <w:rFonts w:ascii="Gentium" w:hAnsi="Gentium" w:cs="Gentium"/>
          <w:sz w:val="24"/>
          <w:szCs w:val="24"/>
        </w:rPr>
      </w:pPr>
      <w:r>
        <w:rPr>
          <w:rFonts w:ascii="Gentium" w:hAnsi="Gentium" w:eastAsia="Gentium" w:cs="Gentium"/>
          <w:sz w:val="24"/>
          <w:szCs w:val="24"/>
        </w:rPr>
        <w:t xml:space="preserve">Pavel: </w:t>
      </w:r>
      <w:r>
        <w:rPr>
          <w:rFonts w:ascii="Gentium" w:hAnsi="Gentium" w:cs="Gentium"/>
          <w:sz w:val="24"/>
          <w:szCs w:val="24"/>
        </w:rPr>
      </w:r>
      <w:r>
        <w:rPr>
          <w:rFonts w:ascii="Gentium" w:hAnsi="Gentium" w:cs="Gentium"/>
          <w:sz w:val="24"/>
          <w:szCs w:val="24"/>
        </w:rPr>
      </w:r>
    </w:p>
    <w:p w14:paraId="2AE040DE">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Isus</w:t>
      </w:r>
      <w:r>
        <w:rPr>
          <w:rFonts w:ascii="Gentium" w:hAnsi="Gentium" w:cs="Gentium"/>
          <w:sz w:val="24"/>
          <w:szCs w:val="24"/>
        </w:rPr>
      </w:r>
      <w:r>
        <w:rPr>
          <w:rFonts w:ascii="Gentium" w:hAnsi="Gentium" w:cs="Gentium"/>
          <w:sz w:val="24"/>
          <w:szCs w:val="24"/>
        </w:rPr>
      </w:r>
    </w:p>
    <w:p w14:paraId="57C7BA88">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imperiile</w:t>
      </w:r>
      <w:r>
        <w:rPr>
          <w:rFonts w:ascii="Gentium" w:hAnsi="Gentium" w:cs="Gentium"/>
          <w:sz w:val="24"/>
          <w:szCs w:val="24"/>
        </w:rPr>
      </w:r>
      <w:r>
        <w:rPr>
          <w:rFonts w:ascii="Gentium" w:hAnsi="Gentium" w:cs="Gentium"/>
          <w:sz w:val="24"/>
          <w:szCs w:val="24"/>
        </w:rPr>
      </w:r>
    </w:p>
    <w:p w14:paraId="06CFD8F7">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Împărăţia lui Dumnezeu şi neamurile</w:t>
      </w:r>
      <w:r>
        <w:rPr>
          <w:rFonts w:ascii="Gentium" w:hAnsi="Gentium" w:cs="Gentium"/>
          <w:sz w:val="24"/>
          <w:szCs w:val="24"/>
        </w:rPr>
      </w:r>
      <w:r>
        <w:rPr>
          <w:rFonts w:ascii="Gentium" w:hAnsi="Gentium" w:cs="Gentium"/>
          <w:sz w:val="24"/>
          <w:szCs w:val="24"/>
        </w:rPr>
      </w:r>
    </w:p>
    <w:p w14:paraId="4D88D439">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Neam ales, </w:t>
      </w:r>
      <w:r>
        <w:rPr>
          <w:rFonts w:ascii="Gentium" w:hAnsi="Gentium" w:eastAsia="Gentium" w:cs="Gentium"/>
          <w:sz w:val="24"/>
          <w:szCs w:val="24"/>
        </w:rPr>
        <w:t xml:space="preserve">casa împăratului</w:t>
      </w:r>
      <w:r>
        <w:rPr>
          <w:rFonts w:ascii="Gentium" w:hAnsi="Gentium" w:cs="Gentium"/>
          <w:sz w:val="24"/>
          <w:szCs w:val="24"/>
        </w:rPr>
      </w:r>
      <w:r>
        <w:rPr>
          <w:rFonts w:ascii="Gentium" w:hAnsi="Gentium" w:cs="Gentium"/>
          <w:sz w:val="24"/>
          <w:szCs w:val="24"/>
        </w:rPr>
      </w:r>
    </w:p>
    <w:p w14:paraId="01402694">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stăpânire, autoritate</w:t>
      </w:r>
      <w:r>
        <w:rPr>
          <w:rFonts w:ascii="Gentium" w:hAnsi="Gentium" w:eastAsia="Gentium" w:cs="Gentium"/>
          <w:sz w:val="24"/>
          <w:szCs w:val="24"/>
        </w:rPr>
        <w:t xml:space="preserve">, raportare la stăpânire</w:t>
      </w:r>
      <w:r>
        <w:rPr>
          <w:rFonts w:ascii="Gentium" w:hAnsi="Gentium" w:cs="Gentium"/>
          <w:sz w:val="24"/>
          <w:szCs w:val="24"/>
        </w:rPr>
      </w:r>
      <w:r>
        <w:rPr>
          <w:rFonts w:ascii="Gentium" w:hAnsi="Gentium" w:cs="Gentium"/>
          <w:sz w:val="24"/>
          <w:szCs w:val="24"/>
        </w:rPr>
      </w:r>
    </w:p>
    <w:p w14:paraId="776AB377">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Oamenii vor </w:t>
      </w:r>
      <w:r>
        <w:rPr>
          <w:rFonts w:ascii="Gentium" w:hAnsi="Gentium" w:eastAsia="Gentium" w:cs="Gentium"/>
          <w:sz w:val="24"/>
          <w:szCs w:val="24"/>
        </w:rPr>
        <w:t xml:space="preserve">judeca îngerii</w:t>
      </w:r>
      <w:r>
        <w:rPr>
          <w:rFonts w:ascii="Gentium" w:hAnsi="Gentium" w:cs="Gentium"/>
          <w:sz w:val="24"/>
          <w:szCs w:val="24"/>
        </w:rPr>
      </w:r>
      <w:r>
        <w:rPr>
          <w:rFonts w:ascii="Gentium" w:hAnsi="Gentium" w:cs="Gentium"/>
          <w:sz w:val="24"/>
          <w:szCs w:val="24"/>
        </w:rPr>
      </w:r>
    </w:p>
    <w:p w14:paraId="76702A00">
      <w:pPr>
        <w:pStyle w:val="1711"/>
        <w:numPr>
          <w:ilvl w:val="0"/>
          <w:numId w:val="10"/>
        </w:numPr>
        <w:pBdr/>
        <w:spacing/>
        <w:ind/>
        <w:rPr>
          <w:rFonts w:ascii="Gentium" w:hAnsi="Gentium" w:cs="Gentium"/>
          <w:sz w:val="24"/>
          <w:szCs w:val="24"/>
        </w:rPr>
      </w:pPr>
      <w:r>
        <w:rPr>
          <w:rFonts w:ascii="Gentium" w:hAnsi="Gentium" w:eastAsia="Gentium" w:cs="Gentium"/>
          <w:sz w:val="24"/>
          <w:szCs w:val="24"/>
        </w:rPr>
        <w:t xml:space="preserve">Se moşteneşte împărăţia</w:t>
      </w:r>
      <w:r>
        <w:rPr>
          <w:rFonts w:ascii="Gentium" w:hAnsi="Gentium" w:cs="Gentium"/>
          <w:sz w:val="24"/>
          <w:szCs w:val="24"/>
        </w:rPr>
      </w:r>
      <w:r>
        <w:rPr>
          <w:rFonts w:ascii="Gentium" w:hAnsi="Gentium" w:cs="Gentium"/>
          <w:sz w:val="24"/>
          <w:szCs w:val="24"/>
        </w:rPr>
      </w:r>
    </w:p>
    <w:p w14:paraId="1C27463A">
      <w:pPr>
        <w:pStyle w:val="1711"/>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54ACEF7D">
      <w:pPr>
        <w:pStyle w:val="1711"/>
        <w:pBdr/>
        <w:spacing/>
        <w:ind/>
        <w:rPr>
          <w:rFonts w:ascii="Gentium" w:hAnsi="Gentium" w:cs="Gentium"/>
          <w:sz w:val="24"/>
          <w:szCs w:val="24"/>
        </w:rPr>
      </w:pPr>
      <w:r>
        <w:rPr>
          <w:rFonts w:ascii="Gentium" w:hAnsi="Gentium" w:eastAsia="Gentium" w:cs="Gentium"/>
          <w:sz w:val="24"/>
          <w:szCs w:val="24"/>
        </w:rPr>
        <w:t xml:space="preserve">Romani 5:17,</w:t>
      </w:r>
      <w:r>
        <w:rPr>
          <w:rFonts w:ascii="Gentium" w:hAnsi="Gentium" w:eastAsia="Gentium" w:cs="Gentium"/>
          <w:sz w:val="24"/>
          <w:szCs w:val="24"/>
        </w:rPr>
        <w:t xml:space="preserve">creştinii domnesc împreună cu Hristos</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17B934BE">
      <w:pPr>
        <w:pStyle w:val="1711"/>
        <w:pBdr/>
        <w:spacing/>
        <w:ind/>
        <w:rPr>
          <w:rFonts w:ascii="Gentium" w:hAnsi="Gentium" w:cs="Gentium"/>
          <w:sz w:val="24"/>
          <w:szCs w:val="24"/>
        </w:rPr>
      </w:pPr>
      <w:r>
        <w:rPr>
          <w:rFonts w:ascii="Gentium" w:hAnsi="Gentium" w:eastAsia="Gentium" w:cs="Gentium"/>
          <w:sz w:val="24"/>
          <w:szCs w:val="24"/>
        </w:rPr>
        <w:t xml:space="preserve">Romani 5:21</w:t>
      </w:r>
      <w:r>
        <w:rPr>
          <w:rFonts w:ascii="Gentium" w:hAnsi="Gentium" w:eastAsia="Gentium" w:cs="Gentium"/>
          <w:sz w:val="24"/>
          <w:szCs w:val="24"/>
        </w:rPr>
        <w:t xml:space="preserve">, </w:t>
      </w:r>
      <w:r>
        <w:rPr>
          <w:rFonts w:ascii="Gentium" w:hAnsi="Gentium" w:eastAsia="Gentium" w:cs="Gentium"/>
          <w:sz w:val="24"/>
          <w:szCs w:val="24"/>
        </w:rPr>
        <w:t xml:space="preserve">domnia harului, prin Hristos</w:t>
      </w:r>
      <w:r>
        <w:rPr>
          <w:rFonts w:ascii="Gentium" w:hAnsi="Gentium" w:cs="Gentium"/>
          <w:sz w:val="24"/>
          <w:szCs w:val="24"/>
        </w:rPr>
      </w:r>
      <w:r>
        <w:rPr>
          <w:rFonts w:ascii="Gentium" w:hAnsi="Gentium" w:cs="Gentium"/>
          <w:sz w:val="24"/>
          <w:szCs w:val="24"/>
        </w:rPr>
      </w:r>
    </w:p>
    <w:p w14:paraId="5FD3C839">
      <w:pPr>
        <w:pStyle w:val="1711"/>
        <w:pBdr/>
        <w:spacing/>
        <w:ind/>
        <w:rPr>
          <w:rFonts w:ascii="Gentium" w:hAnsi="Gentium" w:cs="Gentium"/>
          <w:sz w:val="24"/>
          <w:szCs w:val="24"/>
        </w:rPr>
      </w:pPr>
      <w:r>
        <w:rPr>
          <w:rFonts w:ascii="Gentium" w:hAnsi="Gentium" w:eastAsia="Gentium" w:cs="Gentium"/>
          <w:sz w:val="24"/>
          <w:szCs w:val="24"/>
        </w:rPr>
        <w:t xml:space="preserve">Romani 14:17</w:t>
      </w:r>
      <w:r>
        <w:rPr>
          <w:rFonts w:ascii="Gentium" w:hAnsi="Gentium" w:eastAsia="Gentium" w:cs="Gentium"/>
          <w:sz w:val="24"/>
          <w:szCs w:val="24"/>
        </w:rPr>
        <w:t xml:space="preserve">, împărăţia spirituală a lui Dumnezeu (</w:t>
      </w:r>
      <w:r>
        <w:rPr>
          <w:rFonts w:ascii="Gentium" w:hAnsi="Gentium" w:eastAsia="Gentium" w:cs="Gentium"/>
          <w:sz w:val="24"/>
          <w:szCs w:val="24"/>
        </w:rPr>
        <w:t xml:space="preserve">dreptate, pace, bucurie în Duhul Sfânt).</w:t>
      </w:r>
      <w:r>
        <w:rPr>
          <w:rFonts w:ascii="Gentium" w:hAnsi="Gentium" w:cs="Gentium"/>
          <w:sz w:val="24"/>
          <w:szCs w:val="24"/>
        </w:rPr>
      </w:r>
      <w:r>
        <w:rPr>
          <w:rFonts w:ascii="Gentium" w:hAnsi="Gentium" w:cs="Gentium"/>
          <w:sz w:val="24"/>
          <w:szCs w:val="24"/>
        </w:rPr>
      </w:r>
    </w:p>
    <w:p w14:paraId="5D68832A">
      <w:pPr>
        <w:pStyle w:val="1711"/>
        <w:pBdr/>
        <w:spacing/>
        <w:ind/>
        <w:rPr>
          <w:rFonts w:ascii="Gentium" w:hAnsi="Gentium" w:cs="Gentium"/>
          <w:sz w:val="24"/>
          <w:szCs w:val="24"/>
        </w:rPr>
      </w:pPr>
      <w:r>
        <w:rPr>
          <w:rFonts w:ascii="Gentium" w:hAnsi="Gentium" w:eastAsia="Gentium" w:cs="Gentium"/>
          <w:sz w:val="24"/>
          <w:szCs w:val="24"/>
        </w:rPr>
        <w:t xml:space="preserve">1 Corinthians 4:20</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15.24-25, </w:t>
      </w:r>
      <w:r>
        <w:rPr>
          <w:rFonts w:ascii="Gentium" w:hAnsi="Gentium" w:eastAsia="Gentium" w:cs="Gentium"/>
          <w:sz w:val="24"/>
          <w:szCs w:val="24"/>
        </w:rPr>
        <w:t xml:space="preserve">împărăţia lui Dumnezeu şi puterea Lui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5F6725BB">
      <w:pPr>
        <w:pStyle w:val="1711"/>
        <w:pBdr/>
        <w:spacing/>
        <w:ind/>
        <w:rPr>
          <w:rFonts w:ascii="Gentium" w:hAnsi="Gentium" w:cs="Gentium"/>
          <w:sz w:val="24"/>
          <w:szCs w:val="24"/>
        </w:rPr>
      </w:pPr>
      <w:r>
        <w:rPr>
          <w:rFonts w:ascii="Gentium" w:hAnsi="Gentium" w:eastAsia="Gentium" w:cs="Gentium"/>
          <w:sz w:val="24"/>
          <w:szCs w:val="24"/>
        </w:rPr>
        <w:t xml:space="preserve">1 Corinthians 6:9</w:t>
      </w:r>
      <w:r>
        <w:rPr>
          <w:rFonts w:ascii="Gentium" w:hAnsi="Gentium" w:eastAsia="Gentium" w:cs="Gentium"/>
          <w:sz w:val="24"/>
          <w:szCs w:val="24"/>
        </w:rPr>
        <w:t xml:space="preserve">-10</w:t>
      </w:r>
      <w:r>
        <w:rPr>
          <w:rFonts w:ascii="Gentium" w:hAnsi="Gentium" w:eastAsia="Gentium" w:cs="Gentium"/>
          <w:sz w:val="24"/>
          <w:szCs w:val="24"/>
        </w:rPr>
        <w:t xml:space="preserve">, moştenitorii împărăţiei (etică)</w:t>
      </w:r>
      <w:r>
        <w:rPr>
          <w:rFonts w:ascii="Gentium" w:hAnsi="Gentium" w:cs="Gentium"/>
          <w:sz w:val="24"/>
          <w:szCs w:val="24"/>
        </w:rPr>
      </w:r>
      <w:r>
        <w:rPr>
          <w:rFonts w:ascii="Gentium" w:hAnsi="Gentium" w:cs="Gentium"/>
          <w:sz w:val="24"/>
          <w:szCs w:val="24"/>
        </w:rPr>
      </w:r>
    </w:p>
    <w:p w14:paraId="0D6C5F1E">
      <w:pPr>
        <w:pStyle w:val="1711"/>
        <w:pBdr/>
        <w:spacing/>
        <w:ind/>
        <w:rPr>
          <w:rFonts w:ascii="Gentium" w:hAnsi="Gentium" w:cs="Gentium"/>
          <w:sz w:val="24"/>
          <w:szCs w:val="24"/>
        </w:rPr>
      </w:pPr>
      <w:r>
        <w:rPr>
          <w:rFonts w:ascii="Gentium" w:hAnsi="Gentium" w:eastAsia="Gentium" w:cs="Gentium"/>
          <w:sz w:val="24"/>
          <w:szCs w:val="24"/>
        </w:rPr>
        <w:t xml:space="preserve">1 Corinthians 15.</w:t>
      </w:r>
      <w:r>
        <w:rPr>
          <w:rFonts w:ascii="Gentium" w:hAnsi="Gentium" w:eastAsia="Gentium" w:cs="Gentium"/>
          <w:sz w:val="24"/>
          <w:szCs w:val="24"/>
        </w:rPr>
        <w:t xml:space="preserve">50</w:t>
      </w:r>
      <w:r>
        <w:rPr>
          <w:rFonts w:ascii="Gentium" w:hAnsi="Gentium" w:eastAsia="Gentium" w:cs="Gentium"/>
          <w:sz w:val="24"/>
          <w:szCs w:val="24"/>
        </w:rPr>
        <w:t xml:space="preserve">, împărăţia şi învierea</w:t>
      </w:r>
      <w:r>
        <w:rPr>
          <w:rFonts w:ascii="Gentium" w:hAnsi="Gentium" w:cs="Gentium"/>
          <w:sz w:val="24"/>
          <w:szCs w:val="24"/>
        </w:rPr>
      </w:r>
      <w:r>
        <w:rPr>
          <w:rFonts w:ascii="Gentium" w:hAnsi="Gentium" w:cs="Gentium"/>
          <w:sz w:val="24"/>
          <w:szCs w:val="24"/>
        </w:rPr>
      </w:r>
    </w:p>
    <w:p w14:paraId="2953E7F6">
      <w:pPr>
        <w:pStyle w:val="1711"/>
        <w:pBdr/>
        <w:spacing/>
        <w:ind/>
        <w:rPr>
          <w:rFonts w:ascii="Gentium" w:hAnsi="Gentium" w:cs="Gentium"/>
          <w:sz w:val="24"/>
          <w:szCs w:val="24"/>
        </w:rPr>
      </w:pPr>
      <w:r>
        <w:rPr>
          <w:rFonts w:ascii="Gentium" w:hAnsi="Gentium" w:eastAsia="Gentium" w:cs="Gentium"/>
          <w:sz w:val="24"/>
          <w:szCs w:val="24"/>
        </w:rPr>
        <w:t xml:space="preserve">Galat</w:t>
      </w:r>
      <w:r>
        <w:rPr>
          <w:rFonts w:ascii="Gentium" w:hAnsi="Gentium" w:eastAsia="Gentium" w:cs="Gentium"/>
          <w:sz w:val="24"/>
          <w:szCs w:val="24"/>
        </w:rPr>
        <w:t xml:space="preserve">eni</w:t>
      </w:r>
      <w:r>
        <w:rPr>
          <w:rFonts w:ascii="Gentium" w:hAnsi="Gentium" w:eastAsia="Gentium" w:cs="Gentium"/>
          <w:sz w:val="24"/>
          <w:szCs w:val="24"/>
        </w:rPr>
        <w:t xml:space="preserve"> 5.</w:t>
      </w:r>
      <w:r>
        <w:rPr>
          <w:rFonts w:ascii="Gentium" w:hAnsi="Gentium" w:eastAsia="Gentium" w:cs="Gentium"/>
          <w:sz w:val="24"/>
          <w:szCs w:val="24"/>
        </w:rPr>
        <w:t xml:space="preserve">21</w:t>
      </w:r>
      <w:r>
        <w:rPr>
          <w:rFonts w:ascii="Gentium" w:hAnsi="Gentium" w:eastAsia="Gentium" w:cs="Gentium"/>
          <w:sz w:val="24"/>
          <w:szCs w:val="24"/>
        </w:rPr>
        <w:t xml:space="preserve">, </w:t>
      </w:r>
      <w:r>
        <w:rPr>
          <w:rFonts w:ascii="Gentium" w:hAnsi="Gentium" w:eastAsia="Gentium" w:cs="Gentium"/>
          <w:sz w:val="24"/>
          <w:szCs w:val="24"/>
        </w:rPr>
        <w:t xml:space="preserve">condiţiile </w:t>
      </w:r>
      <w:r>
        <w:rPr>
          <w:rFonts w:ascii="Gentium" w:hAnsi="Gentium" w:eastAsia="Gentium" w:cs="Gentium"/>
          <w:sz w:val="24"/>
          <w:szCs w:val="24"/>
        </w:rPr>
        <w:t xml:space="preserve">moştenir</w:t>
      </w:r>
      <w:r>
        <w:rPr>
          <w:rFonts w:ascii="Gentium" w:hAnsi="Gentium" w:eastAsia="Gentium" w:cs="Gentium"/>
          <w:sz w:val="24"/>
          <w:szCs w:val="24"/>
        </w:rPr>
        <w:t xml:space="preserve">ii</w:t>
      </w:r>
      <w:r>
        <w:rPr>
          <w:rFonts w:ascii="Gentium" w:hAnsi="Gentium" w:eastAsia="Gentium" w:cs="Gentium"/>
          <w:sz w:val="24"/>
          <w:szCs w:val="24"/>
        </w:rPr>
        <w:t xml:space="preserve"> împărăţiei</w:t>
      </w:r>
      <w:r>
        <w:rPr>
          <w:rFonts w:ascii="Gentium" w:hAnsi="Gentium" w:cs="Gentium"/>
          <w:sz w:val="24"/>
          <w:szCs w:val="24"/>
        </w:rPr>
      </w:r>
      <w:r>
        <w:rPr>
          <w:rFonts w:ascii="Gentium" w:hAnsi="Gentium" w:cs="Gentium"/>
          <w:sz w:val="24"/>
          <w:szCs w:val="24"/>
        </w:rPr>
      </w:r>
    </w:p>
    <w:p w14:paraId="6E6A6594">
      <w:pPr>
        <w:pStyle w:val="1711"/>
        <w:pBdr/>
        <w:spacing/>
        <w:ind/>
        <w:rPr>
          <w:rFonts w:ascii="Gentium" w:hAnsi="Gentium" w:cs="Gentium"/>
          <w:sz w:val="24"/>
          <w:szCs w:val="24"/>
        </w:rPr>
      </w:pPr>
      <w:r>
        <w:rPr>
          <w:rFonts w:ascii="Gentium" w:hAnsi="Gentium" w:eastAsia="Gentium" w:cs="Gentium"/>
          <w:sz w:val="24"/>
          <w:szCs w:val="24"/>
        </w:rPr>
        <w:t xml:space="preserve">Colos</w:t>
      </w:r>
      <w:r>
        <w:rPr>
          <w:rFonts w:ascii="Gentium" w:hAnsi="Gentium" w:eastAsia="Gentium" w:cs="Gentium"/>
          <w:sz w:val="24"/>
          <w:szCs w:val="24"/>
        </w:rPr>
        <w:t xml:space="preserve">eni </w:t>
      </w:r>
      <w:r>
        <w:rPr>
          <w:rFonts w:ascii="Gentium" w:hAnsi="Gentium" w:eastAsia="Gentium" w:cs="Gentium"/>
          <w:sz w:val="24"/>
          <w:szCs w:val="24"/>
        </w:rPr>
        <w:t xml:space="preserve">1.</w:t>
      </w:r>
      <w:r>
        <w:rPr>
          <w:rFonts w:ascii="Gentium" w:hAnsi="Gentium" w:eastAsia="Gentium" w:cs="Gentium"/>
          <w:sz w:val="24"/>
          <w:szCs w:val="24"/>
        </w:rPr>
        <w:t xml:space="preserve">13</w:t>
      </w:r>
      <w:r>
        <w:rPr>
          <w:rFonts w:ascii="Gentium" w:hAnsi="Gentium" w:eastAsia="Gentium" w:cs="Gentium"/>
          <w:sz w:val="24"/>
          <w:szCs w:val="24"/>
        </w:rPr>
        <w:t xml:space="preserve">, strămutarea în î</w:t>
      </w:r>
      <w:r>
        <w:rPr>
          <w:rFonts w:ascii="Gentium" w:hAnsi="Gentium" w:eastAsia="Gentium" w:cs="Gentium"/>
          <w:sz w:val="24"/>
          <w:szCs w:val="24"/>
        </w:rPr>
        <w:t xml:space="preserve">mpărăţia lui Dumnezeu</w:t>
      </w:r>
      <w:r>
        <w:rPr>
          <w:rFonts w:ascii="Gentium" w:hAnsi="Gentium" w:cs="Gentium"/>
          <w:sz w:val="24"/>
          <w:szCs w:val="24"/>
        </w:rPr>
      </w:r>
      <w:r>
        <w:rPr>
          <w:rFonts w:ascii="Gentium" w:hAnsi="Gentium" w:cs="Gentium"/>
          <w:sz w:val="24"/>
          <w:szCs w:val="24"/>
        </w:rPr>
      </w:r>
    </w:p>
    <w:p w14:paraId="4CEAE717">
      <w:pPr>
        <w:pStyle w:val="1711"/>
        <w:pBdr/>
        <w:spacing/>
        <w:ind/>
        <w:rPr>
          <w:rFonts w:ascii="Gentium" w:hAnsi="Gentium" w:cs="Gentium"/>
          <w:sz w:val="24"/>
          <w:szCs w:val="24"/>
        </w:rPr>
      </w:pPr>
      <w:r>
        <w:rPr>
          <w:rFonts w:ascii="Gentium" w:hAnsi="Gentium" w:eastAsia="Gentium" w:cs="Gentium"/>
          <w:sz w:val="24"/>
          <w:szCs w:val="24"/>
        </w:rPr>
        <w:t xml:space="preserve">Coloseni</w:t>
      </w:r>
      <w:r>
        <w:rPr>
          <w:rFonts w:ascii="Gentium" w:hAnsi="Gentium" w:eastAsia="Gentium" w:cs="Gentium"/>
          <w:sz w:val="24"/>
          <w:szCs w:val="24"/>
        </w:rPr>
        <w:t xml:space="preserve"> 4.</w:t>
      </w:r>
      <w:r>
        <w:rPr>
          <w:rFonts w:ascii="Gentium" w:hAnsi="Gentium" w:eastAsia="Gentium" w:cs="Gentium"/>
          <w:sz w:val="24"/>
          <w:szCs w:val="24"/>
        </w:rPr>
        <w:t xml:space="preserve">11</w:t>
      </w:r>
      <w:r>
        <w:rPr>
          <w:rFonts w:ascii="Gentium" w:hAnsi="Gentium" w:eastAsia="Gentium" w:cs="Gentium"/>
          <w:sz w:val="24"/>
          <w:szCs w:val="24"/>
        </w:rPr>
        <w:t xml:space="preserve">, împărăţia lui Dumnezeu şi evanghelia</w:t>
      </w:r>
      <w:r>
        <w:rPr>
          <w:rFonts w:ascii="Gentium" w:hAnsi="Gentium" w:cs="Gentium"/>
          <w:sz w:val="24"/>
          <w:szCs w:val="24"/>
        </w:rPr>
      </w:r>
      <w:r>
        <w:rPr>
          <w:rFonts w:ascii="Gentium" w:hAnsi="Gentium" w:cs="Gentium"/>
          <w:sz w:val="24"/>
          <w:szCs w:val="24"/>
        </w:rPr>
      </w:r>
    </w:p>
    <w:p w14:paraId="6DC8F29E">
      <w:pPr>
        <w:pStyle w:val="1711"/>
        <w:pBdr/>
        <w:spacing/>
        <w:ind/>
        <w:rPr>
          <w:rFonts w:ascii="Gentium" w:hAnsi="Gentium" w:cs="Gentium"/>
          <w:sz w:val="24"/>
          <w:szCs w:val="24"/>
        </w:rPr>
      </w:pPr>
      <w:r>
        <w:rPr>
          <w:rFonts w:ascii="Gentium" w:hAnsi="Gentium" w:eastAsia="Gentium" w:cs="Gentium"/>
          <w:sz w:val="24"/>
          <w:szCs w:val="24"/>
        </w:rPr>
        <w:t xml:space="preserve">E</w:t>
      </w:r>
      <w:r>
        <w:rPr>
          <w:rFonts w:ascii="Gentium" w:hAnsi="Gentium" w:eastAsia="Gentium" w:cs="Gentium"/>
          <w:sz w:val="24"/>
          <w:szCs w:val="24"/>
        </w:rPr>
        <w:t xml:space="preserve">feseni</w:t>
      </w:r>
      <w:r>
        <w:rPr>
          <w:rFonts w:ascii="Gentium" w:hAnsi="Gentium" w:eastAsia="Gentium" w:cs="Gentium"/>
          <w:sz w:val="24"/>
          <w:szCs w:val="24"/>
        </w:rPr>
        <w:t xml:space="preserve"> 5.</w:t>
      </w:r>
      <w:r>
        <w:rPr>
          <w:rFonts w:ascii="Gentium" w:hAnsi="Gentium" w:eastAsia="Gentium" w:cs="Gentium"/>
          <w:sz w:val="24"/>
          <w:szCs w:val="24"/>
        </w:rPr>
        <w:t xml:space="preserve">5</w:t>
      </w:r>
      <w:r>
        <w:rPr>
          <w:rFonts w:ascii="Gentium" w:hAnsi="Gentium" w:eastAsia="Gentium" w:cs="Gentium"/>
          <w:sz w:val="24"/>
          <w:szCs w:val="24"/>
        </w:rPr>
        <w:t xml:space="preserve">, moştenirea împărăţiei lui Dumnezeu</w:t>
      </w:r>
      <w:r>
        <w:rPr>
          <w:rFonts w:ascii="Gentium" w:hAnsi="Gentium" w:cs="Gentium"/>
          <w:sz w:val="24"/>
          <w:szCs w:val="24"/>
        </w:rPr>
      </w:r>
      <w:r>
        <w:rPr>
          <w:rFonts w:ascii="Gentium" w:hAnsi="Gentium" w:cs="Gentium"/>
          <w:sz w:val="24"/>
          <w:szCs w:val="24"/>
        </w:rPr>
      </w:r>
    </w:p>
    <w:p w14:paraId="3BA83435">
      <w:pPr>
        <w:pStyle w:val="1711"/>
        <w:pBdr/>
        <w:spacing/>
        <w:ind/>
        <w:rPr>
          <w:rFonts w:ascii="Gentium" w:hAnsi="Gentium" w:cs="Gentium"/>
          <w:sz w:val="24"/>
          <w:szCs w:val="24"/>
        </w:rPr>
      </w:pPr>
      <w:r>
        <w:rPr>
          <w:rFonts w:ascii="Gentium" w:hAnsi="Gentium" w:eastAsia="Gentium" w:cs="Gentium"/>
          <w:sz w:val="24"/>
          <w:szCs w:val="24"/>
        </w:rPr>
        <w:t xml:space="preserve">1 T</w:t>
      </w:r>
      <w:r>
        <w:rPr>
          <w:rFonts w:ascii="Gentium" w:hAnsi="Gentium" w:eastAsia="Gentium" w:cs="Gentium"/>
          <w:sz w:val="24"/>
          <w:szCs w:val="24"/>
        </w:rPr>
        <w:t xml:space="preserve">esaloniceni</w:t>
      </w:r>
      <w:r>
        <w:rPr>
          <w:rFonts w:ascii="Gentium" w:hAnsi="Gentium" w:eastAsia="Gentium" w:cs="Gentium"/>
          <w:sz w:val="24"/>
          <w:szCs w:val="24"/>
        </w:rPr>
        <w:t xml:space="preserve"> 2.</w:t>
      </w:r>
      <w:r>
        <w:rPr>
          <w:rFonts w:ascii="Gentium" w:hAnsi="Gentium" w:eastAsia="Gentium" w:cs="Gentium"/>
          <w:sz w:val="24"/>
          <w:szCs w:val="24"/>
        </w:rPr>
        <w:t xml:space="preserve">12</w:t>
      </w:r>
      <w:r>
        <w:rPr>
          <w:rFonts w:ascii="Gentium" w:hAnsi="Gentium" w:eastAsia="Gentium" w:cs="Gentium"/>
          <w:sz w:val="24"/>
          <w:szCs w:val="24"/>
        </w:rPr>
        <w:t xml:space="preserve">, purtare etică, demnă de împ.</w:t>
      </w:r>
      <w:r>
        <w:rPr>
          <w:rFonts w:ascii="Gentium" w:hAnsi="Gentium" w:cs="Gentium"/>
          <w:sz w:val="24"/>
          <w:szCs w:val="24"/>
        </w:rPr>
      </w:r>
      <w:r>
        <w:rPr>
          <w:rFonts w:ascii="Gentium" w:hAnsi="Gentium" w:cs="Gentium"/>
          <w:sz w:val="24"/>
          <w:szCs w:val="24"/>
        </w:rPr>
      </w:r>
    </w:p>
    <w:p w14:paraId="40ED162D">
      <w:pPr>
        <w:pStyle w:val="1711"/>
        <w:pBdr/>
        <w:spacing/>
        <w:ind/>
        <w:rPr>
          <w:rFonts w:ascii="Gentium" w:hAnsi="Gentium" w:cs="Gentium"/>
          <w:sz w:val="24"/>
          <w:szCs w:val="24"/>
        </w:rPr>
      </w:pPr>
      <w:r>
        <w:rPr>
          <w:rFonts w:ascii="Gentium" w:hAnsi="Gentium" w:eastAsia="Gentium" w:cs="Gentium"/>
          <w:sz w:val="24"/>
          <w:szCs w:val="24"/>
        </w:rPr>
        <w:t xml:space="preserve">2 T</w:t>
      </w:r>
      <w:r>
        <w:rPr>
          <w:rFonts w:ascii="Gentium" w:hAnsi="Gentium" w:eastAsia="Gentium" w:cs="Gentium"/>
          <w:sz w:val="24"/>
          <w:szCs w:val="24"/>
        </w:rPr>
        <w:t xml:space="preserve">esaloniceni</w:t>
      </w:r>
      <w:r>
        <w:rPr>
          <w:rFonts w:ascii="Gentium" w:hAnsi="Gentium" w:eastAsia="Gentium" w:cs="Gentium"/>
          <w:sz w:val="24"/>
          <w:szCs w:val="24"/>
        </w:rPr>
        <w:t xml:space="preserve"> 1.</w:t>
      </w:r>
      <w:r>
        <w:rPr>
          <w:rFonts w:ascii="Gentium" w:hAnsi="Gentium" w:eastAsia="Gentium" w:cs="Gentium"/>
          <w:sz w:val="24"/>
          <w:szCs w:val="24"/>
        </w:rPr>
        <w:t xml:space="preserve">5</w:t>
      </w:r>
      <w:r>
        <w:rPr>
          <w:rFonts w:ascii="Gentium" w:hAnsi="Gentium" w:eastAsia="Gentium" w:cs="Gentium"/>
          <w:sz w:val="24"/>
          <w:szCs w:val="24"/>
        </w:rPr>
        <w:t xml:space="preserve">, </w:t>
      </w:r>
      <w:r>
        <w:rPr>
          <w:rFonts w:ascii="Gentium" w:hAnsi="Gentium" w:eastAsia="Gentium" w:cs="Gentium"/>
          <w:sz w:val="24"/>
          <w:szCs w:val="24"/>
        </w:rPr>
        <w:t xml:space="preserve">etică în persecuţie</w:t>
      </w:r>
      <w:r>
        <w:rPr>
          <w:rFonts w:ascii="Gentium" w:hAnsi="Gentium" w:cs="Gentium"/>
          <w:sz w:val="24"/>
          <w:szCs w:val="24"/>
        </w:rPr>
      </w:r>
      <w:r>
        <w:rPr>
          <w:rFonts w:ascii="Gentium" w:hAnsi="Gentium" w:cs="Gentium"/>
          <w:sz w:val="24"/>
          <w:szCs w:val="24"/>
        </w:rPr>
      </w:r>
    </w:p>
    <w:p w14:paraId="58915D47">
      <w:pPr>
        <w:pStyle w:val="1711"/>
        <w:pBdr/>
        <w:spacing/>
        <w:ind/>
        <w:rPr>
          <w:rFonts w:ascii="Gentium" w:hAnsi="Gentium" w:cs="Gentium"/>
          <w:sz w:val="24"/>
          <w:szCs w:val="24"/>
        </w:rPr>
      </w:pPr>
      <w:r>
        <w:rPr>
          <w:rFonts w:ascii="Gentium" w:hAnsi="Gentium" w:eastAsia="Gentium" w:cs="Gentium"/>
          <w:sz w:val="24"/>
          <w:szCs w:val="24"/>
        </w:rPr>
        <w:t xml:space="preserve">1 Timot</w:t>
      </w:r>
      <w:r>
        <w:rPr>
          <w:rFonts w:ascii="Gentium" w:hAnsi="Gentium" w:eastAsia="Gentium" w:cs="Gentium"/>
          <w:sz w:val="24"/>
          <w:szCs w:val="24"/>
        </w:rPr>
        <w:t xml:space="preserve">ei </w:t>
      </w:r>
      <w:r>
        <w:rPr>
          <w:rFonts w:ascii="Gentium" w:hAnsi="Gentium" w:eastAsia="Gentium" w:cs="Gentium"/>
          <w:sz w:val="24"/>
          <w:szCs w:val="24"/>
        </w:rPr>
        <w:t xml:space="preserve">1.</w:t>
      </w:r>
      <w:r>
        <w:rPr>
          <w:rFonts w:ascii="Gentium" w:hAnsi="Gentium" w:eastAsia="Gentium" w:cs="Gentium"/>
          <w:sz w:val="24"/>
          <w:szCs w:val="24"/>
        </w:rPr>
        <w:t xml:space="preserve">17</w:t>
      </w:r>
      <w:r>
        <w:rPr>
          <w:rFonts w:ascii="Gentium" w:hAnsi="Gentium" w:eastAsia="Gentium" w:cs="Gentium"/>
          <w:sz w:val="24"/>
          <w:szCs w:val="24"/>
        </w:rPr>
        <w:t xml:space="preserve">, </w:t>
      </w:r>
      <w:r>
        <w:rPr>
          <w:rFonts w:ascii="Gentium" w:hAnsi="Gentium" w:eastAsia="Gentium" w:cs="Gentium"/>
          <w:sz w:val="24"/>
          <w:szCs w:val="24"/>
        </w:rPr>
        <w:t xml:space="preserve">6.</w:t>
      </w:r>
      <w:r>
        <w:rPr>
          <w:rFonts w:ascii="Gentium" w:hAnsi="Gentium" w:eastAsia="Gentium" w:cs="Gentium"/>
          <w:sz w:val="24"/>
          <w:szCs w:val="24"/>
        </w:rPr>
        <w:t xml:space="preserve">17, </w:t>
      </w:r>
      <w:r>
        <w:rPr>
          <w:rFonts w:ascii="Gentium" w:hAnsi="Gentium" w:eastAsia="Gentium" w:cs="Gentium"/>
          <w:sz w:val="24"/>
          <w:szCs w:val="24"/>
        </w:rPr>
        <w:t xml:space="preserve">împărăţie eternă</w:t>
      </w:r>
      <w:r>
        <w:rPr>
          <w:rFonts w:ascii="Gentium" w:hAnsi="Gentium" w:cs="Gentium"/>
          <w:sz w:val="24"/>
          <w:szCs w:val="24"/>
        </w:rPr>
      </w:r>
      <w:r>
        <w:rPr>
          <w:rFonts w:ascii="Gentium" w:hAnsi="Gentium" w:cs="Gentium"/>
          <w:sz w:val="24"/>
          <w:szCs w:val="24"/>
        </w:rPr>
      </w:r>
    </w:p>
    <w:p w14:paraId="01444532">
      <w:pPr>
        <w:pStyle w:val="1711"/>
        <w:pBdr/>
        <w:spacing/>
        <w:ind/>
        <w:rPr>
          <w:rFonts w:ascii="Gentium" w:hAnsi="Gentium" w:cs="Gentium"/>
          <w:sz w:val="24"/>
          <w:szCs w:val="24"/>
        </w:rPr>
      </w:pPr>
      <w:r>
        <w:rPr>
          <w:rFonts w:ascii="Gentium" w:hAnsi="Gentium" w:eastAsia="Gentium" w:cs="Gentium"/>
          <w:sz w:val="24"/>
          <w:szCs w:val="24"/>
        </w:rPr>
        <w:t xml:space="preserve">1 Timo</w:t>
      </w:r>
      <w:r>
        <w:rPr>
          <w:rFonts w:ascii="Gentium" w:hAnsi="Gentium" w:eastAsia="Gentium" w:cs="Gentium"/>
          <w:sz w:val="24"/>
          <w:szCs w:val="24"/>
        </w:rPr>
        <w:t xml:space="preserve">tei</w:t>
      </w:r>
      <w:r>
        <w:rPr>
          <w:rFonts w:ascii="Gentium" w:hAnsi="Gentium" w:eastAsia="Gentium" w:cs="Gentium"/>
          <w:sz w:val="24"/>
          <w:szCs w:val="24"/>
        </w:rPr>
        <w:t xml:space="preserve"> 2.</w:t>
      </w:r>
      <w:r>
        <w:rPr>
          <w:rFonts w:ascii="Gentium" w:hAnsi="Gentium" w:eastAsia="Gentium" w:cs="Gentium"/>
          <w:sz w:val="24"/>
          <w:szCs w:val="24"/>
        </w:rPr>
        <w:t xml:space="preserve">2</w:t>
      </w:r>
      <w:r>
        <w:rPr>
          <w:rFonts w:ascii="Gentium" w:hAnsi="Gentium" w:eastAsia="Gentium" w:cs="Gentium"/>
          <w:sz w:val="24"/>
          <w:szCs w:val="24"/>
        </w:rPr>
        <w:t xml:space="preserve">, </w:t>
      </w:r>
      <w:r>
        <w:rPr>
          <w:rFonts w:ascii="Gentium" w:hAnsi="Gentium" w:eastAsia="Gentium" w:cs="Gentium"/>
          <w:sz w:val="24"/>
          <w:szCs w:val="24"/>
        </w:rPr>
        <w:t xml:space="preserve">rugăciuni pentru împăraţi şi oficiali (!)</w:t>
      </w:r>
      <w:r>
        <w:rPr>
          <w:rFonts w:ascii="Gentium" w:hAnsi="Gentium" w:cs="Gentium"/>
          <w:sz w:val="24"/>
          <w:szCs w:val="24"/>
        </w:rPr>
      </w:r>
      <w:r>
        <w:rPr>
          <w:rFonts w:ascii="Gentium" w:hAnsi="Gentium" w:cs="Gentium"/>
          <w:sz w:val="24"/>
          <w:szCs w:val="24"/>
        </w:rPr>
      </w:r>
    </w:p>
    <w:p w14:paraId="7DF9D348">
      <w:pPr>
        <w:pStyle w:val="1711"/>
        <w:pBdr/>
        <w:spacing/>
        <w:ind/>
        <w:rPr>
          <w:rFonts w:ascii="Gentium" w:hAnsi="Gentium" w:cs="Gentium"/>
          <w:sz w:val="24"/>
          <w:szCs w:val="24"/>
        </w:rPr>
      </w:pPr>
      <w:r>
        <w:rPr>
          <w:rFonts w:ascii="Gentium" w:hAnsi="Gentium" w:eastAsia="Gentium" w:cs="Gentium"/>
          <w:sz w:val="24"/>
          <w:szCs w:val="24"/>
        </w:rPr>
        <w:t xml:space="preserve">2 Timo</w:t>
      </w:r>
      <w:r>
        <w:rPr>
          <w:rFonts w:ascii="Gentium" w:hAnsi="Gentium" w:eastAsia="Gentium" w:cs="Gentium"/>
          <w:sz w:val="24"/>
          <w:szCs w:val="24"/>
        </w:rPr>
        <w:t xml:space="preserve">tei 2.11-13; 4.</w:t>
      </w:r>
      <w:r>
        <w:rPr>
          <w:rFonts w:ascii="Gentium" w:hAnsi="Gentium" w:eastAsia="Gentium" w:cs="Gentium"/>
          <w:sz w:val="24"/>
          <w:szCs w:val="24"/>
        </w:rPr>
        <w:t xml:space="preserve">1</w:t>
      </w:r>
      <w:r>
        <w:rPr>
          <w:rFonts w:ascii="Gentium" w:hAnsi="Gentium" w:eastAsia="Gentium" w:cs="Gentium"/>
          <w:sz w:val="24"/>
          <w:szCs w:val="24"/>
        </w:rPr>
        <w:t xml:space="preserve">, 4.18</w:t>
      </w:r>
      <w:r>
        <w:rPr>
          <w:rFonts w:ascii="Gentium" w:hAnsi="Gentium" w:cs="Gentium"/>
          <w:sz w:val="24"/>
          <w:szCs w:val="24"/>
        </w:rPr>
      </w:r>
      <w:r>
        <w:rPr>
          <w:rFonts w:ascii="Gentium" w:hAnsi="Gentium" w:cs="Gentium"/>
          <w:sz w:val="24"/>
          <w:szCs w:val="24"/>
        </w:rPr>
      </w:r>
    </w:p>
    <w:p w14:paraId="625AB93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CD62B46">
      <w:pPr>
        <w:pStyle w:val="1711"/>
        <w:pBdr/>
        <w:spacing/>
        <w:ind w:firstLine="0"/>
        <w:rPr>
          <w:rFonts w:ascii="Gentium" w:hAnsi="Gentium" w:cs="Gentium"/>
          <w:sz w:val="24"/>
          <w:szCs w:val="24"/>
        </w:rPr>
      </w:pPr>
      <w:r>
        <w:rPr>
          <w:rFonts w:ascii="Gentium" w:hAnsi="Gentium" w:eastAsia="Gentium" w:cs="Gentium"/>
          <w:sz w:val="24"/>
          <w:szCs w:val="24"/>
        </w:rPr>
        <w:t xml:space="preserve">Ceilalţi</w:t>
      </w:r>
      <w:r>
        <w:rPr>
          <w:rFonts w:ascii="Gentium" w:hAnsi="Gentium" w:eastAsia="Gentium" w:cs="Gentium"/>
          <w:sz w:val="24"/>
          <w:szCs w:val="24"/>
        </w:rPr>
        <w:t xml:space="preserve"> autori:</w:t>
      </w:r>
      <w:r>
        <w:rPr>
          <w:rFonts w:ascii="Gentium" w:hAnsi="Gentium" w:cs="Gentium"/>
          <w:sz w:val="24"/>
          <w:szCs w:val="24"/>
        </w:rPr>
      </w:r>
      <w:r>
        <w:rPr>
          <w:rFonts w:ascii="Gentium" w:hAnsi="Gentium" w:cs="Gentium"/>
          <w:sz w:val="24"/>
          <w:szCs w:val="24"/>
        </w:rPr>
      </w:r>
    </w:p>
    <w:p w14:paraId="5028231D">
      <w:pPr>
        <w:pStyle w:val="1711"/>
        <w:pBdr/>
        <w:spacing/>
        <w:ind w:firstLine="0"/>
        <w:rPr>
          <w:rFonts w:ascii="Gentium" w:hAnsi="Gentium" w:cs="Gentium"/>
          <w:sz w:val="24"/>
          <w:szCs w:val="24"/>
        </w:rPr>
      </w:pPr>
      <w:r>
        <w:rPr>
          <w:rFonts w:ascii="Gentium" w:hAnsi="Gentium" w:eastAsia="Gentium" w:cs="Gentium"/>
          <w:sz w:val="24"/>
          <w:szCs w:val="24"/>
        </w:rPr>
        <w:t xml:space="preserve">Evrei, </w:t>
      </w:r>
      <w:r>
        <w:rPr>
          <w:rFonts w:ascii="Gentium" w:hAnsi="Gentium" w:cs="Gentium"/>
          <w:sz w:val="24"/>
          <w:szCs w:val="24"/>
        </w:rPr>
      </w:r>
      <w:r>
        <w:rPr>
          <w:rFonts w:ascii="Gentium" w:hAnsi="Gentium" w:cs="Gentium"/>
          <w:sz w:val="24"/>
          <w:szCs w:val="24"/>
        </w:rPr>
      </w:r>
    </w:p>
    <w:p w14:paraId="2D18268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621FB23E">
      <w:pPr>
        <w:pStyle w:val="1711"/>
        <w:pBdr/>
        <w:spacing/>
        <w:ind w:firstLine="0"/>
        <w:rPr>
          <w:rFonts w:ascii="Gentium" w:hAnsi="Gentium" w:cs="Gentium"/>
          <w:sz w:val="24"/>
          <w:szCs w:val="24"/>
        </w:rPr>
      </w:pPr>
      <w:r>
        <w:rPr>
          <w:rFonts w:ascii="Gentium" w:hAnsi="Gentium" w:eastAsia="Gentium" w:cs="Gentium"/>
          <w:sz w:val="24"/>
          <w:szCs w:val="24"/>
        </w:rPr>
        <w:t xml:space="preserve">Petru</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66509552">
      <w:pPr>
        <w:pStyle w:val="1711"/>
        <w:pBdr/>
        <w:spacing/>
        <w:ind w:firstLine="0"/>
        <w:rPr>
          <w:rFonts w:ascii="Gentium" w:hAnsi="Gentium" w:cs="Gentium"/>
          <w:sz w:val="24"/>
          <w:szCs w:val="24"/>
        </w:rPr>
      </w:pPr>
      <w:r>
        <w:rPr>
          <w:rFonts w:ascii="Gentium" w:hAnsi="Gentium" w:eastAsia="Gentium" w:cs="Gentium"/>
          <w:sz w:val="24"/>
          <w:szCs w:val="24"/>
        </w:rPr>
        <w:t xml:space="preserve">cf. 1 Petru 2.9-10, creştinii sunt un popor pentru fapte bune,</w:t>
      </w:r>
      <w:r>
        <w:rPr>
          <w:rFonts w:ascii="Gentium" w:hAnsi="Gentium" w:cs="Gentium"/>
          <w:sz w:val="24"/>
          <w:szCs w:val="24"/>
        </w:rPr>
      </w:r>
      <w:r>
        <w:rPr>
          <w:rFonts w:ascii="Gentium" w:hAnsi="Gentium" w:cs="Gentium"/>
          <w:sz w:val="24"/>
          <w:szCs w:val="24"/>
        </w:rPr>
      </w:r>
    </w:p>
    <w:p w14:paraId="15170422">
      <w:pPr>
        <w:pStyle w:val="1711"/>
        <w:pBdr/>
        <w:spacing/>
        <w:ind w:firstLine="0"/>
        <w:rPr>
          <w:rFonts w:ascii="Gentium" w:hAnsi="Gentium" w:cs="Gentium"/>
          <w:sz w:val="24"/>
          <w:szCs w:val="24"/>
        </w:rPr>
      </w:pPr>
      <w:r>
        <w:rPr>
          <w:rFonts w:ascii="Gentium" w:hAnsi="Gentium" w:eastAsia="Gentium" w:cs="Gentium"/>
          <w:sz w:val="24"/>
          <w:szCs w:val="24"/>
        </w:rPr>
        <w:t xml:space="preserve">o preoţie sfântă, un neam împărătesc</w:t>
      </w:r>
      <w:r>
        <w:rPr>
          <w:rFonts w:ascii="Gentium" w:hAnsi="Gentium" w:cs="Gentium"/>
          <w:sz w:val="24"/>
          <w:szCs w:val="24"/>
        </w:rPr>
      </w:r>
      <w:r>
        <w:rPr>
          <w:rFonts w:ascii="Gentium" w:hAnsi="Gentium" w:cs="Gentium"/>
          <w:sz w:val="24"/>
          <w:szCs w:val="24"/>
        </w:rPr>
      </w:r>
    </w:p>
    <w:p w14:paraId="0DDDBAF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76A50DF">
      <w:pPr>
        <w:pStyle w:val="1711"/>
        <w:pBdr/>
        <w:spacing/>
        <w:ind w:firstLine="0"/>
        <w:rPr>
          <w:rFonts w:ascii="Gentium" w:hAnsi="Gentium" w:cs="Gentium"/>
          <w:sz w:val="24"/>
          <w:szCs w:val="24"/>
        </w:rPr>
      </w:pPr>
      <w:r>
        <w:rPr>
          <w:rFonts w:ascii="Gentium" w:hAnsi="Gentium" w:eastAsia="Gentium" w:cs="Gentium"/>
          <w:sz w:val="24"/>
          <w:szCs w:val="24"/>
        </w:rPr>
        <w:t xml:space="preserve">Iacov</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6B533C2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6A6472EC">
      <w:pPr>
        <w:pStyle w:val="1711"/>
        <w:pBdr/>
        <w:spacing/>
        <w:ind w:firstLine="0"/>
        <w:rPr>
          <w:rFonts w:ascii="Gentium" w:hAnsi="Gentium" w:cs="Gentium"/>
          <w:sz w:val="24"/>
          <w:szCs w:val="24"/>
        </w:rPr>
      </w:pPr>
      <w:r>
        <w:rPr>
          <w:rFonts w:ascii="Gentium" w:hAnsi="Gentium" w:eastAsia="Gentium" w:cs="Gentium"/>
          <w:sz w:val="24"/>
          <w:szCs w:val="24"/>
        </w:rPr>
        <w:t xml:space="preserve">Definiţia şi limitele împărăţiei lui Dumnezeu</w:t>
      </w:r>
      <w:r>
        <w:rPr>
          <w:rFonts w:ascii="Gentium" w:hAnsi="Gentium" w:cs="Gentium"/>
          <w:sz w:val="24"/>
          <w:szCs w:val="24"/>
        </w:rPr>
      </w:r>
      <w:r>
        <w:rPr>
          <w:rFonts w:ascii="Gentium" w:hAnsi="Gentium" w:cs="Gentium"/>
          <w:sz w:val="24"/>
          <w:szCs w:val="24"/>
        </w:rPr>
      </w:r>
    </w:p>
    <w:p w14:paraId="6D9CE0D9">
      <w:pPr>
        <w:pStyle w:val="1711"/>
        <w:pBdr/>
        <w:spacing/>
        <w:ind w:firstLine="0"/>
        <w:rPr>
          <w:rFonts w:ascii="Gentium" w:hAnsi="Gentium" w:cs="Gentium"/>
          <w:sz w:val="24"/>
          <w:szCs w:val="24"/>
        </w:rPr>
      </w:pPr>
      <w:r>
        <w:rPr>
          <w:rFonts w:ascii="Gentium" w:hAnsi="Gentium" w:eastAsia="Gentium" w:cs="Gentium"/>
          <w:sz w:val="24"/>
          <w:szCs w:val="24"/>
        </w:rPr>
        <w:tab/>
        <w:t xml:space="preserve">Terestre, umane, cosmice, trans-umane?</w:t>
      </w:r>
      <w:r>
        <w:rPr>
          <w:rFonts w:ascii="Gentium" w:hAnsi="Gentium" w:cs="Gentium"/>
          <w:sz w:val="24"/>
          <w:szCs w:val="24"/>
        </w:rPr>
      </w:r>
      <w:r>
        <w:rPr>
          <w:rFonts w:ascii="Gentium" w:hAnsi="Gentium" w:cs="Gentium"/>
          <w:sz w:val="24"/>
          <w:szCs w:val="24"/>
        </w:rPr>
      </w:r>
    </w:p>
    <w:p w14:paraId="5A3506AB">
      <w:pPr>
        <w:pStyle w:val="1711"/>
        <w:pBdr/>
        <w:spacing/>
        <w:ind w:firstLine="720"/>
        <w:rPr>
          <w:rFonts w:ascii="Gentium" w:hAnsi="Gentium" w:cs="Gentium"/>
          <w:sz w:val="24"/>
          <w:szCs w:val="24"/>
        </w:rPr>
      </w:pPr>
      <w:r>
        <w:rPr>
          <w:rFonts w:ascii="Gentium" w:hAnsi="Gentium" w:eastAsia="Gentium" w:cs="Gentium"/>
          <w:sz w:val="24"/>
          <w:szCs w:val="24"/>
        </w:rPr>
        <w:t xml:space="preserve">Cine </w:t>
      </w:r>
      <w:r>
        <w:rPr>
          <w:rFonts w:ascii="Gentium" w:hAnsi="Gentium" w:eastAsia="Gentium" w:cs="Gentium"/>
          <w:sz w:val="24"/>
          <w:szCs w:val="24"/>
        </w:rPr>
        <w:t xml:space="preserve">face parte din</w:t>
      </w:r>
      <w:r>
        <w:rPr>
          <w:rFonts w:ascii="Gentium" w:hAnsi="Gentium" w:eastAsia="Gentium" w:cs="Gentium"/>
          <w:sz w:val="24"/>
          <w:szCs w:val="24"/>
        </w:rPr>
        <w:t xml:space="preserve"> împărăţia lui Dumnezeu?</w:t>
      </w:r>
      <w:r>
        <w:rPr>
          <w:rFonts w:ascii="Gentium" w:hAnsi="Gentium" w:cs="Gentium"/>
          <w:sz w:val="24"/>
          <w:szCs w:val="24"/>
        </w:rPr>
      </w:r>
      <w:r>
        <w:rPr>
          <w:rFonts w:ascii="Gentium" w:hAnsi="Gentium" w:cs="Gentium"/>
          <w:sz w:val="24"/>
          <w:szCs w:val="24"/>
        </w:rPr>
      </w:r>
    </w:p>
    <w:p w14:paraId="50955E8A">
      <w:pPr>
        <w:pStyle w:val="1711"/>
        <w:pBdr/>
        <w:spacing/>
        <w:ind w:firstLine="720"/>
        <w:rPr>
          <w:rFonts w:ascii="Gentium" w:hAnsi="Gentium" w:cs="Gentium"/>
          <w:sz w:val="24"/>
          <w:szCs w:val="24"/>
        </w:rPr>
      </w:pPr>
      <w:r>
        <w:rPr>
          <w:rFonts w:ascii="Gentium" w:hAnsi="Gentium" w:eastAsia="Gentium" w:cs="Gentium"/>
          <w:sz w:val="24"/>
          <w:szCs w:val="24"/>
        </w:rPr>
        <w:t xml:space="preserve">Biserica şi împărăţia lui Dumnezeu</w:t>
      </w:r>
      <w:r>
        <w:rPr>
          <w:rFonts w:ascii="Gentium" w:hAnsi="Gentium" w:cs="Gentium"/>
          <w:sz w:val="24"/>
          <w:szCs w:val="24"/>
        </w:rPr>
      </w:r>
      <w:r>
        <w:rPr>
          <w:rFonts w:ascii="Gentium" w:hAnsi="Gentium" w:cs="Gentium"/>
          <w:sz w:val="24"/>
          <w:szCs w:val="24"/>
        </w:rPr>
      </w:r>
    </w:p>
    <w:p w14:paraId="37F0B17A">
      <w:pPr>
        <w:pStyle w:val="1711"/>
        <w:pBdr/>
        <w:spacing/>
        <w:ind w:firstLine="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r>
      <w:bookmarkStart w:id="51" w:name="_Toc252991855"/>
      <w:r>
        <w:rPr>
          <w:rFonts w:ascii="Gentium" w:hAnsi="Gentium" w:eastAsia="Gentium" w:cs="Gentium"/>
          <w:sz w:val="24"/>
          <w:szCs w:val="24"/>
        </w:rPr>
        <w:t xml:space="preserve">Curs </w:t>
      </w:r>
      <w:r>
        <w:rPr>
          <w:rFonts w:ascii="Gentium" w:hAnsi="Gentium" w:eastAsia="Gentium" w:cs="Gentium"/>
          <w:sz w:val="24"/>
          <w:szCs w:val="24"/>
          <w:lang w:val="en-US"/>
        </w:rPr>
        <w:t xml:space="preserve">10</w:t>
      </w:r>
      <w:r>
        <w:rPr>
          <w:rFonts w:ascii="Gentium" w:hAnsi="Gentium" w:eastAsia="Gentium" w:cs="Gentium"/>
          <w:sz w:val="24"/>
          <w:szCs w:val="24"/>
        </w:rPr>
        <w:t xml:space="preserve">. Noul Testament şi politicile culturale</w:t>
      </w:r>
      <w:r>
        <w:rPr>
          <w:rFonts w:ascii="Gentium" w:hAnsi="Gentium" w:eastAsia="Gentium" w:cs="Gentium"/>
          <w:sz w:val="24"/>
          <w:szCs w:val="24"/>
        </w:rPr>
        <w:t xml:space="preserve"> (II)</w:t>
      </w:r>
      <w:bookmarkEnd w:id="51"/>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Luca-Fapte şi ideologia evangheliei (călătorii,</w:t>
      </w:r>
      <w:r>
        <w:rPr>
          <w:rFonts w:ascii="Gentium" w:hAnsi="Gentium" w:eastAsia="Gentium" w:cs="Gentium"/>
          <w:sz w:val="24"/>
          <w:szCs w:val="24"/>
        </w:rPr>
        <w:t xml:space="preserve"> </w:t>
      </w:r>
      <w:r>
        <w:rPr>
          <w:rFonts w:ascii="Gentium" w:hAnsi="Gentium" w:eastAsia="Gentium" w:cs="Gentium"/>
          <w:sz w:val="24"/>
          <w:szCs w:val="24"/>
        </w:rPr>
        <w:t xml:space="preserve">militari, aristocraţi); Pavel şi paradigmele</w:t>
      </w:r>
      <w:r>
        <w:rPr>
          <w:rFonts w:ascii="Gentium" w:hAnsi="Gentium" w:eastAsia="Gentium" w:cs="Gentium"/>
          <w:sz w:val="24"/>
          <w:szCs w:val="24"/>
        </w:rPr>
        <w:t xml:space="preserve"> </w:t>
      </w:r>
      <w:r>
        <w:rPr>
          <w:rFonts w:ascii="Gentium" w:hAnsi="Gentium" w:eastAsia="Gentium" w:cs="Gentium"/>
          <w:sz w:val="24"/>
          <w:szCs w:val="24"/>
        </w:rPr>
        <w:t xml:space="preserve">culturale; artele şi credinţa; ştiinţă şi Scriptură.</w:t>
      </w:r>
      <w:r>
        <w:rPr>
          <w:rFonts w:ascii="Gentium" w:hAnsi="Gentium" w:eastAsia="Gentium" w:cs="Gentium"/>
          <w:sz w:val="24"/>
          <w:szCs w:val="24"/>
        </w:rPr>
        <w:t xml:space="preserve"> </w:t>
      </w:r>
      <w:r>
        <w:rPr>
          <w:rFonts w:ascii="Gentium" w:hAnsi="Gentium" w:eastAsia="Gentium" w:cs="Gentium"/>
          <w:sz w:val="24"/>
          <w:szCs w:val="24"/>
        </w:rPr>
        <w:t xml:space="preserve">Matei-Marcu-Luca-Faptele Ap.; Romani, 1-2</w:t>
      </w:r>
      <w:r>
        <w:rPr>
          <w:rFonts w:ascii="Gentium" w:hAnsi="Gentium" w:eastAsia="Gentium" w:cs="Gentium"/>
          <w:sz w:val="24"/>
          <w:szCs w:val="24"/>
        </w:rPr>
        <w:t xml:space="preserve"> </w:t>
      </w:r>
      <w:r>
        <w:rPr>
          <w:rFonts w:ascii="Gentium" w:hAnsi="Gentium" w:eastAsia="Gentium" w:cs="Gentium"/>
          <w:sz w:val="24"/>
          <w:szCs w:val="24"/>
        </w:rPr>
        <w:t xml:space="preserve">Corinteni; Coloseni; Filipeni.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10</w:t>
      </w:r>
      <w:bookmarkStart w:id="52" w:name="_Toc252991856"/>
      <w:r>
        <w:rPr>
          <w:rFonts w:ascii="Gentium" w:hAnsi="Gentium" w:eastAsia="Gentium" w:cs="Gentium"/>
          <w:sz w:val="24"/>
          <w:szCs w:val="24"/>
          <w:lang w:val="ro-RO"/>
        </w:rPr>
        <w:t xml:space="preserve">.1 </w:t>
      </w:r>
      <w:r>
        <w:rPr>
          <w:rFonts w:ascii="Gentium" w:hAnsi="Gentium" w:eastAsia="Gentium" w:cs="Gentium"/>
          <w:sz w:val="24"/>
          <w:szCs w:val="24"/>
          <w:lang w:val="ro-RO"/>
        </w:rPr>
        <w:t xml:space="preserve">NT, religia (teologia) şi cultura</w:t>
      </w:r>
      <w:bookmarkEnd w:id="52"/>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Definiţia culturii</w:t>
      </w:r>
      <w:r>
        <w:rPr>
          <w:rFonts w:ascii="Gentium" w:hAnsi="Gentium" w:eastAsia="Gentium" w:cs="Gentium"/>
          <w:sz w:val="24"/>
          <w:szCs w:val="24"/>
        </w:rPr>
        <w:t xml:space="preserve">, R. Niebuhr, V. Robbins, </w:t>
      </w:r>
      <w:r>
        <w:rPr>
          <w:rFonts w:ascii="Gentium" w:hAnsi="Gentium" w:eastAsia="Gentium" w:cs="Gentium"/>
          <w:sz w:val="24"/>
          <w:szCs w:val="24"/>
        </w:rPr>
        <w:t xml:space="preserve">J. Valade</w:t>
      </w:r>
      <w:r>
        <w:rPr>
          <w:rFonts w:ascii="Gentium" w:hAnsi="Gentium" w:eastAsia="Gentium" w:cs="Gentium"/>
          <w:sz w:val="24"/>
          <w:szCs w:val="24"/>
        </w:rPr>
        <w:t xml:space="preserve">. </w:t>
      </w:r>
      <w:r>
        <w:rPr>
          <w:rFonts w:ascii="Gentium" w:hAnsi="Gentium" w:eastAsia="Gentium" w:cs="Gentium"/>
          <w:sz w:val="24"/>
          <w:szCs w:val="24"/>
        </w:rPr>
        <w:t xml:space="preserve">Suma valorilor </w:t>
      </w:r>
      <w:r>
        <w:rPr>
          <w:rFonts w:ascii="Gentium" w:hAnsi="Gentium" w:eastAsia="Gentium" w:cs="Gentium"/>
          <w:sz w:val="24"/>
          <w:szCs w:val="24"/>
        </w:rPr>
        <w:t xml:space="preserve">afirmate şi cultivate conştient de o comunitate.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Alte definiţii.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Clasificări: cultură dominantă, subcult</w:t>
      </w:r>
      <w:r>
        <w:rPr>
          <w:rFonts w:ascii="Gentium" w:hAnsi="Gentium" w:eastAsia="Gentium" w:cs="Gentium"/>
          <w:sz w:val="24"/>
          <w:szCs w:val="24"/>
        </w:rPr>
        <w:t xml:space="preserve">ură, cultură alternativă (</w:t>
      </w:r>
      <w:r>
        <w:rPr>
          <w:rFonts w:ascii="Gentium" w:hAnsi="Gentium" w:eastAsia="Gentium" w:cs="Gentium"/>
          <w:sz w:val="24"/>
          <w:szCs w:val="24"/>
        </w:rPr>
        <w:t xml:space="preserve">cultură</w:t>
      </w:r>
      <w:r>
        <w:rPr>
          <w:rFonts w:ascii="Gentium" w:hAnsi="Gentium" w:eastAsia="Gentium" w:cs="Gentium"/>
          <w:sz w:val="24"/>
          <w:szCs w:val="24"/>
        </w:rPr>
        <w:t xml:space="preserve"> contrară</w:t>
      </w:r>
      <w:r>
        <w:rPr>
          <w:rFonts w:ascii="Gentium" w:hAnsi="Gentium" w:eastAsia="Gentium" w:cs="Gentium"/>
          <w:sz w:val="24"/>
          <w:szCs w:val="24"/>
        </w:rPr>
        <w:t xml:space="preserve">, cultură de opoziţie</w:t>
      </w:r>
      <w:r>
        <w:rPr>
          <w:rFonts w:ascii="Gentium" w:hAnsi="Gentium" w:eastAsia="Gentium" w:cs="Gentium"/>
          <w:sz w:val="24"/>
          <w:szCs w:val="24"/>
        </w:rPr>
        <w:t xml:space="preserve">), </w:t>
      </w:r>
      <w:r>
        <w:rPr>
          <w:rFonts w:ascii="Gentium" w:hAnsi="Gentium" w:eastAsia="Gentium" w:cs="Gentium"/>
          <w:sz w:val="24"/>
          <w:szCs w:val="24"/>
        </w:rPr>
        <w:t xml:space="preserve">contra-cultură, cultură liminală (periferică).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R. Niebuhr (Christ and Culture): Creştinismul deasupra culturii, împotriva culturii şi în cultură (transformând cultura)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Creştinismul ca subcultură sau contra-cultură</w:t>
      </w:r>
      <w:r>
        <w:rPr>
          <w:rFonts w:ascii="Gentium" w:hAnsi="Gentium" w:eastAsia="Gentium" w:cs="Gentium"/>
          <w:sz w:val="24"/>
          <w:szCs w:val="24"/>
        </w:rPr>
        <w:t xml:space="preserve">?</w:t>
      </w:r>
      <w:r>
        <w:rPr>
          <w:rFonts w:ascii="Gentium" w:hAnsi="Gentium" w:eastAsia="Gentium" w:cs="Gentium"/>
          <w:sz w:val="24"/>
          <w:szCs w:val="24"/>
        </w:rPr>
        <w:t xml:space="preserve"> Caracter interimar, </w:t>
      </w:r>
      <w:r>
        <w:rPr>
          <w:rFonts w:ascii="Gentium" w:hAnsi="Gentium" w:eastAsia="Gentium" w:cs="Gentium"/>
          <w:sz w:val="24"/>
          <w:szCs w:val="24"/>
        </w:rPr>
        <w:t xml:space="preserve">dar agendă </w:t>
      </w:r>
      <w:r>
        <w:rPr>
          <w:rFonts w:ascii="Gentium" w:hAnsi="Gentium" w:eastAsia="Gentium" w:cs="Gentium"/>
          <w:sz w:val="24"/>
          <w:szCs w:val="24"/>
        </w:rPr>
        <w:t xml:space="preserve">global</w:t>
      </w:r>
      <w:r>
        <w:rPr>
          <w:rFonts w:ascii="Gentium" w:hAnsi="Gentium" w:eastAsia="Gentium" w:cs="Gentium"/>
          <w:sz w:val="24"/>
          <w:szCs w:val="24"/>
        </w:rPr>
        <w:t xml:space="preserve">ă, integrală, cu calendar.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Creştinismul în calitate de contra-cultură (iniţial) şi cultură alternativă, de opoziţie, în final.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Conflictul agendelor mutual opuse</w:t>
      </w:r>
      <w:r>
        <w:rPr>
          <w:rFonts w:ascii="Gentium" w:hAnsi="Gentium" w:eastAsia="Gentium" w:cs="Gentium"/>
          <w:sz w:val="24"/>
          <w:szCs w:val="24"/>
        </w:rPr>
        <w:t xml:space="preserve"> (creştinism şi islam; comunism; postmodernism şi ecumenism).</w:t>
      </w:r>
      <w:r>
        <w:rPr>
          <w:rFonts w:ascii="Gentium" w:hAnsi="Gentium" w:eastAsia="Gentium" w:cs="Gentium"/>
          <w:sz w:val="24"/>
          <w:szCs w:val="24"/>
        </w:rPr>
        <w:t xml:space="preserve"> Posibilitatea conflictului.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NT şi societatea seculară: problema religiei şi organizarea politică. Gen 5.</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10</w:t>
      </w:r>
      <w:bookmarkStart w:id="53" w:name="_Toc252991857"/>
      <w:r>
        <w:rPr>
          <w:rFonts w:ascii="Gentium" w:hAnsi="Gentium" w:eastAsia="Gentium" w:cs="Gentium"/>
          <w:sz w:val="24"/>
          <w:szCs w:val="24"/>
          <w:lang w:val="ro-RO"/>
        </w:rPr>
        <w:t xml:space="preserve">.2 </w:t>
      </w:r>
      <w:r>
        <w:rPr>
          <w:rFonts w:ascii="Gentium" w:hAnsi="Gentium" w:eastAsia="Gentium" w:cs="Gentium"/>
          <w:sz w:val="24"/>
          <w:szCs w:val="24"/>
          <w:lang w:val="ro-RO"/>
        </w:rPr>
        <w:t xml:space="preserve">Reflexe culturale sinoptice</w:t>
      </w:r>
      <w:bookmarkEnd w:id="53"/>
      <w:r>
        <w:rPr>
          <w:rFonts w:ascii="Gentium" w:hAnsi="Gentium" w:eastAsia="Gentium" w:cs="Gentium"/>
          <w:sz w:val="24"/>
          <w:szCs w:val="24"/>
          <w:lang w:val="ro-RO"/>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ro-RO"/>
        </w:rPr>
        <w:t xml:space="preserve">Reflexe culturale mateene şi marcane</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Matei şi </w:t>
      </w:r>
      <w:r>
        <w:rPr>
          <w:rFonts w:ascii="Gentium" w:hAnsi="Gentium" w:eastAsia="Gentium" w:cs="Gentium"/>
          <w:sz w:val="24"/>
          <w:szCs w:val="24"/>
        </w:rPr>
        <w:t xml:space="preserve">cultura: tradiţia şi legile divine; naţionalism şi mesianism; mesia şi magii; dramatismul cultural al naşterii lui Mesia şi paralele greco-romane (Matei şi Luca)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Marcu şi acţiunea</w:t>
      </w:r>
      <w:r>
        <w:rPr>
          <w:rFonts w:ascii="Gentium" w:hAnsi="Gentium" w:eastAsia="Gentium" w:cs="Gentium"/>
          <w:sz w:val="24"/>
          <w:szCs w:val="24"/>
        </w:rPr>
        <w:t xml:space="preserve">; politica regilor</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ro-RO"/>
        </w:rPr>
        <w:t xml:space="preserve">Reflexe culturale lucane:</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Călătoriile şi ideologia</w:t>
      </w:r>
      <w:r>
        <w:rPr>
          <w:rFonts w:ascii="Gentium" w:hAnsi="Gentium" w:eastAsia="Gentium" w:cs="Gentium"/>
          <w:sz w:val="24"/>
          <w:szCs w:val="24"/>
        </w:rPr>
        <w:t xml:space="preserve">: o viziune globală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Problematica omului zeu – şi divinitatea lui Mesia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Masa şi acceptarea străinilor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10</w:t>
      </w:r>
      <w:bookmarkStart w:id="54" w:name="_Toc252991858"/>
      <w:r>
        <w:rPr>
          <w:rFonts w:ascii="Gentium" w:hAnsi="Gentium" w:eastAsia="Gentium" w:cs="Gentium"/>
          <w:sz w:val="24"/>
          <w:szCs w:val="24"/>
          <w:lang w:val="ro-RO"/>
        </w:rPr>
        <w:t xml:space="preserve">.3 </w:t>
      </w:r>
      <w:r>
        <w:rPr>
          <w:rFonts w:ascii="Gentium" w:hAnsi="Gentium" w:eastAsia="Gentium" w:cs="Gentium"/>
          <w:sz w:val="24"/>
          <w:szCs w:val="24"/>
          <w:lang w:val="ro-RO"/>
        </w:rPr>
        <w:t xml:space="preserve">Reflexe culturale pauline</w:t>
      </w:r>
      <w:r>
        <w:rPr>
          <w:rFonts w:ascii="Gentium" w:hAnsi="Gentium" w:eastAsia="Gentium" w:cs="Gentium"/>
          <w:sz w:val="24"/>
          <w:szCs w:val="24"/>
          <w:lang w:val="ro-RO"/>
        </w:rPr>
        <w:t xml:space="preserve">:</w:t>
      </w:r>
      <w:bookmarkEnd w:id="54"/>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Israel şi Neamurile: Legea sinaitică şi dreptul roman</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Femei şi bărbaţi</w:t>
      </w:r>
      <w:r>
        <w:rPr>
          <w:rFonts w:ascii="Gentium" w:hAnsi="Gentium" w:eastAsia="Gentium" w:cs="Gentium"/>
          <w:sz w:val="24"/>
          <w:szCs w:val="24"/>
        </w:rPr>
        <w:t xml:space="preserve">: Galateni, Efeseni, 1 Cor. 7,</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Revelaţie şi a</w:t>
      </w:r>
      <w:r>
        <w:rPr>
          <w:rFonts w:ascii="Gentium" w:hAnsi="Gentium" w:eastAsia="Gentium" w:cs="Gentium"/>
          <w:sz w:val="24"/>
          <w:szCs w:val="24"/>
        </w:rPr>
        <w:t xml:space="preserve">pocrifele basmelor băbeşti</w:t>
      </w:r>
      <w:r>
        <w:rPr>
          <w:rFonts w:ascii="Gentium" w:hAnsi="Gentium" w:eastAsia="Gentium" w:cs="Gentium"/>
          <w:sz w:val="24"/>
          <w:szCs w:val="24"/>
        </w:rPr>
        <w:t xml:space="preserve">: 1-2 Tim, Tit,</w:t>
      </w:r>
      <w:r>
        <w:rPr>
          <w:rFonts w:ascii="Gentium" w:hAnsi="Gentium" w:eastAsia="Gentium" w:cs="Gentium"/>
          <w:sz w:val="24"/>
          <w:szCs w:val="24"/>
        </w:rPr>
        <w:t xml:space="preserve"> (</w:t>
      </w:r>
      <w:r>
        <w:rPr>
          <w:rFonts w:ascii="Gentium" w:hAnsi="Gentium" w:eastAsia="Gentium" w:cs="Gentium"/>
          <w:sz w:val="24"/>
          <w:szCs w:val="24"/>
        </w:rPr>
        <w:t xml:space="preserve">Iuda</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Erezii şi sincretisme</w:t>
      </w:r>
      <w:r>
        <w:rPr>
          <w:rFonts w:ascii="Gentium" w:hAnsi="Gentium" w:eastAsia="Gentium" w:cs="Gentium"/>
          <w:sz w:val="24"/>
          <w:szCs w:val="24"/>
        </w:rPr>
        <w:t xml:space="preserve">: Coloseni, Efeseni, etc.</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Percepţii culturale greceşti, romane şi cretane</w:t>
      </w:r>
      <w:r>
        <w:rPr>
          <w:rFonts w:ascii="Gentium" w:hAnsi="Gentium" w:eastAsia="Gentium" w:cs="Gentium"/>
          <w:sz w:val="24"/>
          <w:szCs w:val="24"/>
        </w:rPr>
        <w:t xml:space="preserve">: </w:t>
      </w:r>
      <w:r>
        <w:rPr>
          <w:rFonts w:ascii="Gentium" w:hAnsi="Gentium" w:eastAsia="Gentium" w:cs="Gentium"/>
          <w:sz w:val="24"/>
          <w:szCs w:val="24"/>
        </w:rPr>
        <w:t xml:space="preserve">poeţi şi filosofi (F.Ap. 17 – Atena; Tit 1 – Creta.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Hristos şi comorile înţelepciunii</w:t>
      </w:r>
      <w:r>
        <w:rPr>
          <w:rFonts w:ascii="Gentium" w:hAnsi="Gentium" w:eastAsia="Gentium" w:cs="Gentium"/>
          <w:sz w:val="24"/>
          <w:szCs w:val="24"/>
        </w:rPr>
        <w:t xml:space="preserve">, sofia, fronema.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Cultura iubitorilor de bine: kalokagatos (Filipeni)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Paul şi sportul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rPr>
      </w:r>
      <w:bookmarkStart w:id="55" w:name="_Toc252991859"/>
      <w:r>
        <w:rPr>
          <w:rFonts w:ascii="Gentium" w:hAnsi="Gentium" w:eastAsia="Gentium" w:cs="Gentium"/>
          <w:sz w:val="24"/>
          <w:szCs w:val="24"/>
          <w:lang w:val="en-US"/>
        </w:rPr>
        <w:t xml:space="preserve">10</w:t>
      </w:r>
      <w:r>
        <w:rPr>
          <w:rFonts w:ascii="Gentium" w:hAnsi="Gentium" w:eastAsia="Gentium" w:cs="Gentium"/>
          <w:sz w:val="24"/>
          <w:szCs w:val="24"/>
          <w:lang w:val="ro-RO"/>
        </w:rPr>
        <w:t xml:space="preserve">.4 Reflexe culturale din epistolele catolice</w:t>
      </w:r>
      <w:bookmarkEnd w:id="55"/>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Platonism şi neoplatonism în Evrei.</w:t>
      </w:r>
      <w:r>
        <w:rPr>
          <w:rFonts w:ascii="Gentium" w:hAnsi="Gentium" w:eastAsia="Gentium" w:cs="Gentium"/>
          <w:sz w:val="24"/>
          <w:szCs w:val="24"/>
        </w:rPr>
        <w:t xml:space="preserve"> Evrei 11 şi discursul Aspasiei din Platon, Menexenos.</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r>
      <w:bookmarkStart w:id="59" w:name="_Toc252991863"/>
      <w:r>
        <w:rPr>
          <w:rFonts w:ascii="Gentium" w:hAnsi="Gentium" w:eastAsia="Gentium" w:cs="Gentium"/>
          <w:sz w:val="24"/>
          <w:szCs w:val="24"/>
        </w:rPr>
        <w:t xml:space="preserve">Curs </w:t>
      </w:r>
      <w:r>
        <w:rPr>
          <w:rFonts w:ascii="Gentium" w:hAnsi="Gentium" w:eastAsia="Gentium" w:cs="Gentium"/>
          <w:sz w:val="24"/>
          <w:szCs w:val="24"/>
          <w:lang w:val="en-US"/>
        </w:rPr>
        <w:t xml:space="preserve">11</w:t>
      </w:r>
      <w:r>
        <w:rPr>
          <w:rFonts w:ascii="Gentium" w:hAnsi="Gentium" w:eastAsia="Gentium" w:cs="Gentium"/>
          <w:sz w:val="24"/>
          <w:szCs w:val="24"/>
        </w:rPr>
        <w:t xml:space="preserve">. Noul Testament şi politica religioasă</w:t>
      </w:r>
      <w:bookmarkEnd w:id="59"/>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Există </w:t>
      </w:r>
      <w:r>
        <w:rPr>
          <w:rFonts w:ascii="Gentium" w:hAnsi="Gentium" w:eastAsia="Gentium" w:cs="Gentium"/>
          <w:sz w:val="24"/>
          <w:szCs w:val="24"/>
        </w:rPr>
        <w:t xml:space="preserve">în NT evidenţele unei politici religioase a creştinismului primar. Această politică nu este foarte detaliată, ci mai degra</w:t>
      </w:r>
      <w:r>
        <w:rPr>
          <w:rFonts w:ascii="Gentium" w:hAnsi="Gentium" w:eastAsia="Gentium" w:cs="Gentium"/>
          <w:sz w:val="24"/>
          <w:szCs w:val="24"/>
        </w:rPr>
        <w:t xml:space="preserve">bă prezentă sub formă de principii, în unele texte teologice. Trebuie recunoscut că printre acestea apar câteva valori distincte, cum ar fi universalitatea creştinismului, soluţiile pluraliste, şi bineînţeles perspectivele specifice, singulare (unicitatea </w:t>
      </w:r>
      <w:r>
        <w:rPr>
          <w:rFonts w:ascii="Gentium" w:hAnsi="Gentium" w:eastAsia="Gentium" w:cs="Gentium"/>
          <w:sz w:val="24"/>
          <w:szCs w:val="24"/>
        </w:rPr>
        <w:t xml:space="preserve">sau radicalismul creştinismului, </w:t>
      </w:r>
      <w:r>
        <w:rPr>
          <w:rFonts w:ascii="Gentium" w:hAnsi="Gentium" w:eastAsia="Gentium" w:cs="Gentium"/>
          <w:sz w:val="24"/>
          <w:szCs w:val="24"/>
        </w:rPr>
        <w:t xml:space="preserve">salv</w:t>
      </w:r>
      <w:r>
        <w:rPr>
          <w:rFonts w:ascii="Gentium" w:hAnsi="Gentium" w:eastAsia="Gentium" w:cs="Gentium"/>
          <w:sz w:val="24"/>
          <w:szCs w:val="24"/>
        </w:rPr>
        <w:t xml:space="preserve">area unică </w:t>
      </w:r>
      <w:r>
        <w:rPr>
          <w:rFonts w:ascii="Gentium" w:hAnsi="Gentium" w:eastAsia="Gentium" w:cs="Gentium"/>
          <w:sz w:val="24"/>
          <w:szCs w:val="24"/>
        </w:rPr>
        <w:t xml:space="preserve">prin Hristos).</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Biserica în Imperiul Roman</w:t>
      </w:r>
      <w:r>
        <w:rPr>
          <w:rFonts w:ascii="Gentium" w:hAnsi="Gentium" w:eastAsia="Gentium" w:cs="Gentium"/>
          <w:sz w:val="24"/>
          <w:szCs w:val="24"/>
        </w:rPr>
        <w:t xml:space="preserve"> apare să aibă două direcţii de dezvoltare</w:t>
      </w:r>
      <w:r>
        <w:rPr>
          <w:rFonts w:ascii="Gentium" w:hAnsi="Gentium" w:eastAsia="Gentium" w:cs="Gentium"/>
          <w:sz w:val="24"/>
          <w:szCs w:val="24"/>
        </w:rPr>
        <w:t xml:space="preserve">: supravieţuire </w:t>
      </w:r>
      <w:r>
        <w:rPr>
          <w:rFonts w:ascii="Gentium" w:hAnsi="Gentium" w:eastAsia="Gentium" w:cs="Gentium"/>
          <w:sz w:val="24"/>
          <w:szCs w:val="24"/>
        </w:rPr>
        <w:t xml:space="preserve">– ca religie, </w:t>
      </w:r>
      <w:r>
        <w:rPr>
          <w:rFonts w:ascii="Gentium" w:hAnsi="Gentium" w:eastAsia="Gentium" w:cs="Gentium"/>
          <w:sz w:val="24"/>
          <w:szCs w:val="24"/>
        </w:rPr>
        <w:t xml:space="preserve">şi concurenţă</w:t>
      </w:r>
      <w:r>
        <w:rPr>
          <w:rFonts w:ascii="Gentium" w:hAnsi="Gentium" w:eastAsia="Gentium" w:cs="Gentium"/>
          <w:sz w:val="24"/>
          <w:szCs w:val="24"/>
        </w:rPr>
        <w:t xml:space="preserve"> – ca ideologie</w:t>
      </w:r>
      <w:r>
        <w:rPr>
          <w:rFonts w:ascii="Gentium" w:hAnsi="Gentium" w:eastAsia="Gentium" w:cs="Gentium"/>
          <w:sz w:val="24"/>
          <w:szCs w:val="24"/>
        </w:rPr>
        <w:t xml:space="preserve">: paradigmele împărăţiei.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11</w:t>
      </w:r>
      <w:bookmarkStart w:id="60" w:name="_Toc252991864"/>
      <w:r>
        <w:rPr>
          <w:rFonts w:ascii="Gentium" w:hAnsi="Gentium" w:eastAsia="Gentium" w:cs="Gentium"/>
          <w:sz w:val="24"/>
          <w:szCs w:val="24"/>
          <w:lang w:val="ro-RO"/>
        </w:rPr>
        <w:t xml:space="preserve">.1 </w:t>
      </w:r>
      <w:r>
        <w:rPr>
          <w:rFonts w:ascii="Gentium" w:hAnsi="Gentium" w:eastAsia="Gentium" w:cs="Gentium"/>
          <w:sz w:val="24"/>
          <w:szCs w:val="24"/>
          <w:lang w:val="ro-RO"/>
        </w:rPr>
        <w:t xml:space="preserve">Universalitatea creştinismului</w:t>
      </w:r>
      <w:bookmarkEnd w:id="60"/>
      <w:r>
        <w:rPr>
          <w:rFonts w:ascii="Gentium" w:hAnsi="Gentium" w:eastAsia="Gentium" w:cs="Gentium"/>
          <w:sz w:val="24"/>
          <w:szCs w:val="24"/>
          <w:lang w:val="ro-RO"/>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11</w:t>
      </w:r>
      <w:r>
        <w:rPr>
          <w:rFonts w:ascii="Gentium" w:hAnsi="Gentium" w:eastAsia="Gentium" w:cs="Gentium"/>
          <w:sz w:val="24"/>
          <w:szCs w:val="24"/>
          <w:lang w:val="ro-RO"/>
        </w:rPr>
        <w:t xml:space="preserve">.1.1 Universalitate şi imperiu</w:t>
      </w:r>
      <w:r>
        <w:rPr>
          <w:rFonts w:ascii="Gentium" w:hAnsi="Gentium" w:eastAsia="Gentium" w:cs="Gentium"/>
          <w:sz w:val="24"/>
          <w:szCs w:val="24"/>
          <w:lang w:val="ro-RO"/>
        </w:rPr>
      </w:r>
      <w:r>
        <w:rPr>
          <w:rFonts w:ascii="Gentium" w:hAnsi="Gentium" w:cs="Gentium"/>
          <w:sz w:val="24"/>
          <w:szCs w:val="24"/>
        </w:rPr>
      </w:r>
    </w:p>
    <w:p>
      <w:pPr>
        <w:pStyle w:val="1711"/>
        <w:numPr>
          <w:ilvl w:val="0"/>
          <w:numId w:val="2"/>
        </w:numPr>
        <w:pBdr/>
        <w:spacing/>
        <w:ind/>
        <w:rPr>
          <w:rFonts w:ascii="Gentium" w:hAnsi="Gentium" w:cs="Gentium"/>
          <w:sz w:val="24"/>
          <w:szCs w:val="24"/>
        </w:rPr>
      </w:pPr>
      <w:r>
        <w:rPr>
          <w:rFonts w:ascii="Gentium" w:hAnsi="Gentium" w:eastAsia="Gentium" w:cs="Gentium"/>
          <w:sz w:val="24"/>
          <w:szCs w:val="24"/>
        </w:rPr>
        <w:t xml:space="preserve">Mularea pe deschiderea universală a iudaismului mesianic</w:t>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t xml:space="preserve">Ideea profeţilor din VT era că şi păgânii vor putea fi mântuiţi şi vor participa la Împărăţia mesianică. Totuşi, iudeii puneau accent pe faptul că păgânii trebuia să devină iudei.</w:t>
      </w:r>
      <w:r>
        <w:rPr>
          <w:rFonts w:ascii="Gentium" w:hAnsi="Gentium" w:eastAsia="Gentium" w:cs="Gentium"/>
          <w:sz w:val="24"/>
          <w:szCs w:val="24"/>
        </w:rPr>
      </w:r>
      <w:r>
        <w:rPr>
          <w:rFonts w:ascii="Gentium" w:hAnsi="Gentium" w:cs="Gentium"/>
          <w:sz w:val="24"/>
          <w:szCs w:val="24"/>
        </w:rPr>
      </w:r>
    </w:p>
    <w:p>
      <w:pPr>
        <w:pStyle w:val="1711"/>
        <w:numPr>
          <w:ilvl w:val="0"/>
          <w:numId w:val="2"/>
        </w:numPr>
        <w:pBdr/>
        <w:spacing/>
        <w:ind/>
        <w:rPr>
          <w:rFonts w:ascii="Gentium" w:hAnsi="Gentium" w:cs="Gentium"/>
          <w:sz w:val="24"/>
          <w:szCs w:val="24"/>
        </w:rPr>
      </w:pPr>
      <w:r>
        <w:rPr>
          <w:rFonts w:ascii="Gentium" w:hAnsi="Gentium" w:eastAsia="Gentium" w:cs="Gentium"/>
          <w:sz w:val="24"/>
          <w:szCs w:val="24"/>
        </w:rPr>
        <w:t xml:space="preserve">Mularea pe deschiderea universală a imperiului roman</w:t>
      </w:r>
      <w:r>
        <w:rPr>
          <w:rFonts w:ascii="Gentium" w:hAnsi="Gentium" w:eastAsia="Gentium" w:cs="Gentium"/>
          <w:sz w:val="24"/>
          <w:szCs w:val="24"/>
        </w:rPr>
      </w:r>
      <w:r>
        <w:rPr>
          <w:rFonts w:ascii="Gentium" w:hAnsi="Gentium" w:cs="Gentium"/>
          <w:sz w:val="24"/>
          <w:szCs w:val="24"/>
        </w:rPr>
      </w:r>
    </w:p>
    <w:p>
      <w:pPr>
        <w:pStyle w:val="1711"/>
        <w:numPr>
          <w:ilvl w:val="1"/>
          <w:numId w:val="2"/>
        </w:numPr>
        <w:pBdr/>
        <w:spacing/>
        <w:ind/>
        <w:rPr>
          <w:rFonts w:ascii="Gentium" w:hAnsi="Gentium" w:cs="Gentium"/>
          <w:sz w:val="24"/>
          <w:szCs w:val="24"/>
        </w:rPr>
      </w:pPr>
      <w:r>
        <w:rPr>
          <w:rFonts w:ascii="Gentium" w:hAnsi="Gentium" w:eastAsia="Gentium" w:cs="Gentium"/>
          <w:sz w:val="24"/>
          <w:szCs w:val="24"/>
        </w:rPr>
        <w:t xml:space="preserve">M</w:t>
      </w:r>
      <w:r>
        <w:rPr>
          <w:rFonts w:ascii="Gentium" w:hAnsi="Gentium" w:eastAsia="Gentium" w:cs="Gentium"/>
          <w:sz w:val="24"/>
          <w:szCs w:val="24"/>
        </w:rPr>
        <w:t xml:space="preserve">u</w:t>
      </w:r>
      <w:r>
        <w:rPr>
          <w:rFonts w:ascii="Gentium" w:hAnsi="Gentium" w:eastAsia="Gentium" w:cs="Gentium"/>
          <w:sz w:val="24"/>
          <w:szCs w:val="24"/>
        </w:rPr>
        <w:t xml:space="preserve">lare politică</w:t>
      </w:r>
      <w:r>
        <w:rPr>
          <w:rFonts w:ascii="Gentium" w:hAnsi="Gentium" w:eastAsia="Gentium" w:cs="Gentium"/>
          <w:sz w:val="24"/>
          <w:szCs w:val="24"/>
        </w:rPr>
      </w:r>
      <w:r>
        <w:rPr>
          <w:rFonts w:ascii="Gentium" w:hAnsi="Gentium" w:cs="Gentium"/>
          <w:sz w:val="24"/>
          <w:szCs w:val="24"/>
        </w:rPr>
      </w:r>
    </w:p>
    <w:p>
      <w:pPr>
        <w:pStyle w:val="1711"/>
        <w:pBdr/>
        <w:spacing/>
        <w:ind w:firstLine="0" w:left="1800"/>
        <w:rPr>
          <w:rFonts w:ascii="Gentium" w:hAnsi="Gentium" w:cs="Gentium"/>
          <w:sz w:val="24"/>
          <w:szCs w:val="24"/>
        </w:rPr>
      </w:pPr>
      <w:r>
        <w:rPr>
          <w:rFonts w:ascii="Gentium" w:hAnsi="Gentium" w:eastAsia="Gentium" w:cs="Gentium"/>
          <w:sz w:val="24"/>
          <w:szCs w:val="24"/>
        </w:rPr>
        <w:t xml:space="preserve">Imperiul roman este vorbit de bine, în general, în NT. În mod special militarii romani sunt martori importanţi ai învierii şi garanţi ai dreptăţii.</w:t>
      </w:r>
      <w:r>
        <w:rPr>
          <w:rFonts w:ascii="Gentium" w:hAnsi="Gentium" w:eastAsia="Gentium" w:cs="Gentium"/>
          <w:sz w:val="24"/>
          <w:szCs w:val="24"/>
        </w:rPr>
      </w:r>
      <w:r>
        <w:rPr>
          <w:rFonts w:ascii="Gentium" w:hAnsi="Gentium" w:cs="Gentium"/>
          <w:sz w:val="24"/>
          <w:szCs w:val="24"/>
        </w:rPr>
      </w:r>
    </w:p>
    <w:p>
      <w:pPr>
        <w:pStyle w:val="1711"/>
        <w:pBdr/>
        <w:spacing/>
        <w:ind w:firstLine="0" w:left="1800"/>
        <w:rPr>
          <w:rFonts w:ascii="Gentium" w:hAnsi="Gentium" w:cs="Gentium"/>
          <w:sz w:val="24"/>
          <w:szCs w:val="24"/>
        </w:rPr>
      </w:pPr>
      <w:r>
        <w:rPr>
          <w:rFonts w:ascii="Gentium" w:hAnsi="Gentium" w:eastAsia="Gentium" w:cs="Gentium"/>
          <w:sz w:val="24"/>
          <w:szCs w:val="24"/>
        </w:rPr>
        <w:t xml:space="preserve">Pavel face apel la Cezar, ca la judecător suprem şi drept, şi </w:t>
      </w:r>
      <w:r>
        <w:rPr>
          <w:rFonts w:ascii="Gentium" w:hAnsi="Gentium" w:eastAsia="Gentium" w:cs="Gentium"/>
          <w:sz w:val="24"/>
          <w:szCs w:val="24"/>
        </w:rPr>
        <w:t xml:space="preserve">interacţionează cu cultura timpului.</w:t>
      </w:r>
      <w:r>
        <w:rPr>
          <w:rFonts w:ascii="Gentium" w:hAnsi="Gentium" w:eastAsia="Gentium" w:cs="Gentium"/>
          <w:sz w:val="24"/>
          <w:szCs w:val="24"/>
        </w:rPr>
      </w:r>
      <w:r>
        <w:rPr>
          <w:rFonts w:ascii="Gentium" w:hAnsi="Gentium" w:cs="Gentium"/>
          <w:sz w:val="24"/>
          <w:szCs w:val="24"/>
        </w:rPr>
      </w:r>
    </w:p>
    <w:p>
      <w:pPr>
        <w:pStyle w:val="1711"/>
        <w:pBdr/>
        <w:spacing/>
        <w:ind w:firstLine="0" w:left="180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1"/>
          <w:numId w:val="2"/>
        </w:numPr>
        <w:pBdr/>
        <w:spacing/>
        <w:ind/>
        <w:rPr>
          <w:rFonts w:ascii="Gentium" w:hAnsi="Gentium" w:cs="Gentium"/>
          <w:sz w:val="24"/>
          <w:szCs w:val="24"/>
        </w:rPr>
      </w:pPr>
      <w:r>
        <w:rPr>
          <w:rFonts w:ascii="Gentium" w:hAnsi="Gentium" w:eastAsia="Gentium" w:cs="Gentium"/>
          <w:sz w:val="24"/>
          <w:szCs w:val="24"/>
        </w:rPr>
        <w:t xml:space="preserve">Mulare culturală</w:t>
      </w:r>
      <w:r>
        <w:rPr>
          <w:rFonts w:ascii="Gentium" w:hAnsi="Gentium" w:eastAsia="Gentium" w:cs="Gentium"/>
          <w:sz w:val="24"/>
          <w:szCs w:val="24"/>
        </w:rPr>
      </w:r>
      <w:r>
        <w:rPr>
          <w:rFonts w:ascii="Gentium" w:hAnsi="Gentium" w:cs="Gentium"/>
          <w:sz w:val="24"/>
          <w:szCs w:val="24"/>
        </w:rPr>
      </w:r>
    </w:p>
    <w:p>
      <w:pPr>
        <w:pStyle w:val="1711"/>
        <w:pBdr/>
        <w:spacing/>
        <w:ind w:firstLine="0" w:left="1800"/>
        <w:rPr>
          <w:rFonts w:ascii="Gentium" w:hAnsi="Gentium" w:cs="Gentium"/>
          <w:sz w:val="24"/>
          <w:szCs w:val="24"/>
        </w:rPr>
      </w:pPr>
      <w:r>
        <w:rPr>
          <w:rFonts w:ascii="Gentium" w:hAnsi="Gentium" w:eastAsia="Gentium" w:cs="Gentium"/>
          <w:sz w:val="24"/>
          <w:szCs w:val="24"/>
        </w:rPr>
        <w:t xml:space="preserve">Mularea culturală la viaţa imperiului înseamnă sublinierea caracterului inclusivist al culturii greco-romane. Pavel reţine ideea de popor şi inclinaţii etnice (Tit). </w:t>
      </w:r>
      <w:r>
        <w:rPr>
          <w:rFonts w:ascii="Gentium" w:hAnsi="Gentium" w:eastAsia="Gentium" w:cs="Gentium"/>
          <w:sz w:val="24"/>
          <w:szCs w:val="24"/>
        </w:rPr>
      </w:r>
      <w:r>
        <w:rPr>
          <w:rFonts w:ascii="Gentium" w:hAnsi="Gentium" w:cs="Gentium"/>
          <w:sz w:val="24"/>
          <w:szCs w:val="24"/>
        </w:rPr>
      </w:r>
    </w:p>
    <w:p>
      <w:pPr>
        <w:pStyle w:val="1711"/>
        <w:pBdr/>
        <w:spacing/>
        <w:ind w:firstLine="0" w:left="180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2"/>
        </w:numPr>
        <w:pBdr/>
        <w:spacing/>
        <w:ind/>
        <w:rPr>
          <w:rFonts w:ascii="Gentium" w:hAnsi="Gentium" w:cs="Gentium"/>
          <w:sz w:val="24"/>
          <w:szCs w:val="24"/>
        </w:rPr>
      </w:pPr>
      <w:r>
        <w:rPr>
          <w:rFonts w:ascii="Gentium" w:hAnsi="Gentium" w:eastAsia="Gentium" w:cs="Gentium"/>
          <w:sz w:val="24"/>
          <w:szCs w:val="24"/>
        </w:rPr>
        <w:t xml:space="preserve">Extinderea firească a învăţăturii lui Isus şi a apostolilor</w:t>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t xml:space="preserve">Învăţătura lui Isus include creştinarea păgânilor, dar nu explicitează metoda sau tipul de viaţă religioasă. </w:t>
      </w:r>
      <w:r>
        <w:rPr>
          <w:rFonts w:ascii="Gentium" w:hAnsi="Gentium" w:eastAsia="Gentium" w:cs="Gentium"/>
          <w:sz w:val="24"/>
          <w:szCs w:val="24"/>
        </w:rPr>
        <w:t xml:space="preserve">Isus indică, la curăţirea Templului, că şi neamurile trebuia să găsească acolo un loc de rugăciune.</w:t>
      </w:r>
      <w:r>
        <w:rPr>
          <w:rFonts w:ascii="Gentium" w:hAnsi="Gentium" w:eastAsia="Gentium" w:cs="Gentium"/>
          <w:sz w:val="24"/>
          <w:szCs w:val="24"/>
        </w:rPr>
        <w:t xml:space="preserve"> De asemeni, marea trimitere de după înviere (cf. Mt. 28.18-20), include evanghelizarea tuturor neamurilor, până la capătul pământului.</w:t>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t xml:space="preserve">Experienţa apostolilor, în Fapte şi în Epistole, arată că ideea este înţeleasă în final ca o creştinare independentă, fără nevoia de a deveni iudei în tradiţie şi cultură.</w:t>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1080"/>
        <w:rPr>
          <w:rFonts w:ascii="Gentium" w:hAnsi="Gentium" w:cs="Gentium"/>
          <w:sz w:val="24"/>
          <w:szCs w:val="24"/>
        </w:rPr>
      </w:pPr>
      <w:r>
        <w:rPr>
          <w:rFonts w:ascii="Gentium" w:hAnsi="Gentium" w:eastAsia="Gentium" w:cs="Gentium"/>
          <w:sz w:val="24"/>
          <w:szCs w:val="24"/>
        </w:rPr>
        <w:t xml:space="preserve">Pavel şi Petru, în mod deosebit, construiesc teologia creştinării </w:t>
      </w:r>
      <w:r>
        <w:rPr>
          <w:rFonts w:ascii="Gentium" w:hAnsi="Gentium" w:eastAsia="Gentium" w:cs="Gentium"/>
          <w:sz w:val="24"/>
          <w:szCs w:val="24"/>
        </w:rPr>
        <w:t xml:space="preserve">specifice a </w:t>
      </w:r>
      <w:r>
        <w:rPr>
          <w:rFonts w:ascii="Gentium" w:hAnsi="Gentium" w:eastAsia="Gentium" w:cs="Gentium"/>
          <w:sz w:val="24"/>
          <w:szCs w:val="24"/>
        </w:rPr>
        <w:t xml:space="preserve">neamurilor</w:t>
      </w:r>
      <w:r>
        <w:rPr>
          <w:rFonts w:ascii="Gentium" w:hAnsi="Gentium" w:eastAsia="Gentium" w:cs="Gentium"/>
          <w:sz w:val="24"/>
          <w:szCs w:val="24"/>
        </w:rPr>
        <w:t xml:space="preserve"> păgâne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Texte </w:t>
      </w:r>
      <w:r>
        <w:rPr>
          <w:rFonts w:ascii="Gentium" w:hAnsi="Gentium" w:eastAsia="Gentium" w:cs="Gentium"/>
          <w:sz w:val="24"/>
          <w:szCs w:val="24"/>
        </w:rPr>
        <w:t xml:space="preserve">NT </w:t>
      </w:r>
      <w:r>
        <w:rPr>
          <w:rFonts w:ascii="Gentium" w:hAnsi="Gentium" w:eastAsia="Gentium" w:cs="Gentium"/>
          <w:sz w:val="24"/>
          <w:szCs w:val="24"/>
        </w:rPr>
        <w:t xml:space="preserve">reprezentative pentru universalismul creştin:</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Galateni 3.</w:t>
      </w:r>
      <w:r>
        <w:rPr>
          <w:rFonts w:ascii="Gentium" w:hAnsi="Gentium" w:eastAsia="Gentium" w:cs="Gentium"/>
          <w:sz w:val="24"/>
          <w:szCs w:val="24"/>
        </w:rPr>
        <w:t xml:space="preserve">28,</w:t>
      </w:r>
      <w:r>
        <w:rPr>
          <w:rFonts w:ascii="Gentium" w:hAnsi="Gentium" w:eastAsia="Gentium" w:cs="Gentium"/>
          <w:sz w:val="24"/>
          <w:szCs w:val="24"/>
        </w:rPr>
        <w:t xml:space="preserve"> </w:t>
      </w:r>
      <w:r>
        <w:rPr>
          <w:rFonts w:ascii="Gentium" w:hAnsi="Gentium" w:eastAsia="Gentium" w:cs="Gentium"/>
          <w:sz w:val="24"/>
          <w:szCs w:val="24"/>
        </w:rPr>
        <w:t xml:space="preserve">„Nu mai este nici iudeu nici grec, nu mai este nici rob nici liber, nu mai este nici bărbat nici femeie, pentru că voi toţi sunteţi una în Hristos Iisus.”</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Coloseni 3.</w:t>
      </w:r>
      <w:r>
        <w:rPr>
          <w:rFonts w:ascii="Gentium" w:hAnsi="Gentium" w:eastAsia="Gentium" w:cs="Gentium"/>
          <w:sz w:val="24"/>
          <w:szCs w:val="24"/>
        </w:rPr>
        <w:t xml:space="preserve">11, „Astfel nu mai există nici grec nici iudeu, circumcis sau necircumcis, barbar, scit, rob sau liber, ci Hristos este totul în toate.”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1 Corinteni 12.13</w:t>
      </w:r>
      <w:r>
        <w:rPr>
          <w:rFonts w:ascii="Gentium" w:hAnsi="Gentium" w:eastAsia="Gentium" w:cs="Gentium"/>
          <w:sz w:val="24"/>
          <w:szCs w:val="24"/>
        </w:rPr>
        <w:t xml:space="preserve">, </w:t>
      </w:r>
      <w:r>
        <w:rPr>
          <w:rFonts w:ascii="Gentium" w:hAnsi="Gentium" w:eastAsia="Gentium" w:cs="Gentium"/>
          <w:sz w:val="24"/>
          <w:szCs w:val="24"/>
        </w:rPr>
        <w:t xml:space="preserve">„Pentru că noi toţi am fost botezaţi într-un singur Duh, ca să fim un singur trup, fie iudei, fie greci, fie robi, fie liberi; la fel, toţi am băut dintr-un singur Duh.”</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5"/>
        <w:pBdr/>
        <w:spacing/>
        <w:ind/>
        <w:rPr>
          <w14:ligatures w14:val="none"/>
        </w:rPr>
      </w:pPr>
      <w:r>
        <w:rPr>
          <w:lang w:val="en-US"/>
        </w:rPr>
        <w:t xml:space="preserve">11</w:t>
      </w:r>
      <w:r>
        <w:rPr>
          <w:lang w:val="ro-RO"/>
        </w:rPr>
        <w:t xml:space="preserve">.</w:t>
      </w:r>
      <w:r>
        <w:rPr>
          <w:lang w:val="ro-RO"/>
        </w:rPr>
        <w:t xml:space="preserve">1.</w:t>
      </w:r>
      <w:r>
        <w:rPr>
          <w:lang w:val="ro-RO"/>
        </w:rPr>
        <w:t xml:space="preserve">2 </w:t>
      </w:r>
      <w:r>
        <w:rPr>
          <w:lang w:val="ro-RO"/>
        </w:rPr>
        <w:t xml:space="preserve">universalitate şi unicitate</w:t>
      </w:r>
      <w:r>
        <w:rPr>
          <w:lang w:val="ro-RO"/>
        </w:rPr>
      </w:r>
      <w:r>
        <w:rPr>
          <w14:ligatures w14:val="none"/>
        </w:rPr>
      </w:r>
    </w:p>
    <w:p>
      <w:pPr>
        <w:pStyle w:val="1711"/>
        <w:pBdr/>
        <w:spacing/>
        <w:ind w:firstLine="0" w:left="36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360"/>
        <w:rPr>
          <w:rFonts w:ascii="Gentium" w:hAnsi="Gentium" w:cs="Gentium"/>
          <w:sz w:val="24"/>
          <w:szCs w:val="24"/>
        </w:rPr>
      </w:pPr>
      <w:r>
        <w:rPr>
          <w:rFonts w:ascii="Gentium" w:hAnsi="Gentium" w:eastAsia="Gentium" w:cs="Gentium"/>
          <w:sz w:val="24"/>
          <w:szCs w:val="24"/>
        </w:rPr>
        <w:t xml:space="preserve">Simultan cu universalismul său caracteristic</w:t>
      </w:r>
      <w:r>
        <w:rPr>
          <w:rFonts w:ascii="Gentium" w:hAnsi="Gentium" w:eastAsia="Gentium" w:cs="Gentium"/>
          <w:sz w:val="24"/>
          <w:szCs w:val="24"/>
        </w:rPr>
        <w:t xml:space="preserve">, creştinismul NT pune accent ferm pe unicitatea salvifică a lui Hristos. </w:t>
      </w:r>
      <w:r>
        <w:rPr>
          <w:rFonts w:ascii="Gentium" w:hAnsi="Gentium" w:eastAsia="Gentium" w:cs="Gentium"/>
          <w:sz w:val="24"/>
          <w:szCs w:val="24"/>
        </w:rPr>
        <w:t xml:space="preserve">El est</w:t>
      </w:r>
      <w:r>
        <w:rPr>
          <w:rFonts w:ascii="Gentium" w:hAnsi="Gentium" w:eastAsia="Gentium" w:cs="Gentium"/>
          <w:sz w:val="24"/>
          <w:szCs w:val="24"/>
        </w:rPr>
        <w:t xml:space="preserve">e </w:t>
      </w:r>
      <w:r>
        <w:rPr>
          <w:rFonts w:ascii="Gentium" w:hAnsi="Gentium" w:eastAsia="Gentium" w:cs="Gentium"/>
          <w:sz w:val="24"/>
          <w:szCs w:val="24"/>
        </w:rPr>
        <w:t xml:space="preserve">prezentat drept </w:t>
      </w:r>
      <w:r>
        <w:rPr>
          <w:rFonts w:ascii="Gentium" w:hAnsi="Gentium" w:eastAsia="Gentium" w:cs="Gentium"/>
          <w:sz w:val="24"/>
          <w:szCs w:val="24"/>
        </w:rPr>
        <w:t xml:space="preserve">soluţia unică a lui Dumnezeu (Întâiul-născut înseamnă şi „cel unic”, în cazul lui Isus</w:t>
      </w:r>
      <w:r>
        <w:rPr>
          <w:rFonts w:ascii="Gentium" w:hAnsi="Gentium" w:eastAsia="Gentium" w:cs="Gentium"/>
          <w:sz w:val="24"/>
          <w:szCs w:val="24"/>
        </w:rPr>
        <w:t xml:space="preserve">, singurul de acest fel, cu această misiune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36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360"/>
        <w:rPr>
          <w:rFonts w:ascii="Gentium" w:hAnsi="Gentium" w:cs="Gentium"/>
          <w:sz w:val="24"/>
          <w:szCs w:val="24"/>
        </w:rPr>
      </w:pPr>
      <w:r>
        <w:rPr>
          <w:rFonts w:ascii="Gentium" w:hAnsi="Gentium" w:eastAsia="Gentium" w:cs="Gentium"/>
          <w:sz w:val="24"/>
          <w:szCs w:val="24"/>
        </w:rPr>
        <w:t xml:space="preserve">Relaţia cu alte religii nu este explicitată, dar în timp ce pot fi recunoscute elemente de adevăr şi chiar de revelaţie şi în alte religii, revelaţia semnificativă şi completă este prin Isus (cf. Ioan 1). De asemeni, </w:t>
      </w:r>
      <w:r>
        <w:rPr>
          <w:rFonts w:ascii="Gentium" w:hAnsi="Gentium" w:eastAsia="Gentium" w:cs="Gentium"/>
          <w:sz w:val="24"/>
          <w:szCs w:val="24"/>
        </w:rPr>
        <w:t xml:space="preserve">oracolele profetice din VT şi promisiunile de acolo nu au egal (Romani 9-11). </w:t>
      </w:r>
      <w:r>
        <w:rPr>
          <w:rFonts w:ascii="Gentium" w:hAnsi="Gentium" w:eastAsia="Gentium" w:cs="Gentium"/>
          <w:sz w:val="24"/>
          <w:szCs w:val="24"/>
        </w:rPr>
        <w:t xml:space="preserve">Păgânii pot fi </w:t>
      </w:r>
      <w:r>
        <w:rPr>
          <w:rFonts w:ascii="Gentium" w:hAnsi="Gentium" w:eastAsia="Gentium" w:cs="Gentium"/>
          <w:sz w:val="24"/>
          <w:szCs w:val="24"/>
        </w:rPr>
        <w:t xml:space="preserve">„</w:t>
      </w:r>
      <w:r>
        <w:rPr>
          <w:rFonts w:ascii="Gentium" w:hAnsi="Gentium" w:eastAsia="Gentium" w:cs="Gentium"/>
          <w:sz w:val="24"/>
          <w:szCs w:val="24"/>
        </w:rPr>
        <w:t xml:space="preserve">altoiţi</w:t>
      </w:r>
      <w:r>
        <w:rPr>
          <w:rFonts w:ascii="Gentium" w:hAnsi="Gentium" w:eastAsia="Gentium" w:cs="Gentium"/>
          <w:sz w:val="24"/>
          <w:szCs w:val="24"/>
        </w:rPr>
        <w:t xml:space="preserve">”</w:t>
      </w:r>
      <w:r>
        <w:rPr>
          <w:rFonts w:ascii="Gentium" w:hAnsi="Gentium" w:eastAsia="Gentium" w:cs="Gentium"/>
          <w:sz w:val="24"/>
          <w:szCs w:val="24"/>
        </w:rPr>
        <w:t xml:space="preserve"> în copacul mântuirii, dar nu pot desfiinţa valoarea revelaţiilor primite de evrei, de Israel.</w:t>
      </w:r>
      <w:r>
        <w:rPr>
          <w:rFonts w:ascii="Gentium" w:hAnsi="Gentium" w:eastAsia="Gentium" w:cs="Gentium"/>
          <w:sz w:val="24"/>
          <w:szCs w:val="24"/>
        </w:rPr>
        <w:t xml:space="preserve"> În acelaşi timp, apariţia creştinismului duce la încheierea nevoiei de închinare prin jertfe la Templul din Ierusalim, adică trece iudaismul în domeniul trecutului. Astfel iudaismul capătă două valori interesante: pe deoparte, iudaismul </w:t>
      </w:r>
      <w:r>
        <w:rPr>
          <w:rFonts w:ascii="Gentium" w:hAnsi="Gentium" w:eastAsia="Gentium" w:cs="Gentium"/>
          <w:sz w:val="24"/>
          <w:szCs w:val="24"/>
        </w:rPr>
        <w:t xml:space="preserve">este sursa creştinismului (primii creştini sunt iudeii care l-au acceptat pe Isus ca Mesia), pe de cealaltă parte, odată început creştinismul, iudaismul care rămâne nu este decât o opţiune mesianică diferită a iudaismului iniţial, care nu îl recunoaşte pe </w:t>
      </w:r>
      <w:r>
        <w:rPr>
          <w:rFonts w:ascii="Gentium" w:hAnsi="Gentium" w:eastAsia="Gentium" w:cs="Gentium"/>
          <w:sz w:val="24"/>
          <w:szCs w:val="24"/>
        </w:rPr>
        <w:t xml:space="preserve">Isus ca Mesia. Cu alte cuvinte, iudaismul contemporan nu este decât o expresie parţială a iudaismului din secolul 1, anume a iudaismului care se delimitează de Hristos. Iudaismul care l-a cunoscut şi l-a recunoscut pe Hristos este chiar temelia Bisericii.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11</w:t>
      </w:r>
      <w:bookmarkStart w:id="61" w:name="_Toc252991865"/>
      <w:r>
        <w:rPr>
          <w:rFonts w:ascii="Gentium" w:hAnsi="Gentium" w:eastAsia="Gentium" w:cs="Gentium"/>
          <w:sz w:val="24"/>
          <w:szCs w:val="24"/>
          <w:lang w:val="ro-RO"/>
        </w:rPr>
        <w:t xml:space="preserve">.2 Politici religioase şi etnice</w:t>
      </w:r>
      <w:bookmarkEnd w:id="61"/>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Aşa cum s-a observat, </w:t>
      </w:r>
      <w:r>
        <w:rPr>
          <w:rFonts w:ascii="Gentium" w:hAnsi="Gentium" w:eastAsia="Gentium" w:cs="Gentium"/>
          <w:sz w:val="24"/>
          <w:szCs w:val="24"/>
        </w:rPr>
        <w:t xml:space="preserve">una din trăsăturile majore ale </w:t>
      </w:r>
      <w:r>
        <w:rPr>
          <w:rFonts w:ascii="Gentium" w:hAnsi="Gentium" w:eastAsia="Gentium" w:cs="Gentium"/>
          <w:sz w:val="24"/>
          <w:szCs w:val="24"/>
        </w:rPr>
        <w:t xml:space="preserve">politic</w:t>
      </w:r>
      <w:r>
        <w:rPr>
          <w:rFonts w:ascii="Gentium" w:hAnsi="Gentium" w:eastAsia="Gentium" w:cs="Gentium"/>
          <w:sz w:val="24"/>
          <w:szCs w:val="24"/>
        </w:rPr>
        <w:t xml:space="preserve">ii religioase a creştinismului este universalismul. În privinţa aceasta, creştinismul manifestă o anumită vocaţie imperială, inclusivistă.</w:t>
      </w:r>
      <w:r>
        <w:rPr>
          <w:rFonts w:ascii="Gentium" w:hAnsi="Gentium" w:eastAsia="Gentium" w:cs="Gentium"/>
          <w:sz w:val="24"/>
          <w:szCs w:val="24"/>
        </w:rPr>
        <w:t xml:space="preserve"> terestră. </w:t>
      </w:r>
      <w:r>
        <w:rPr>
          <w:rFonts w:ascii="Gentium" w:hAnsi="Gentium" w:eastAsia="Gentium" w:cs="Gentium"/>
          <w:sz w:val="24"/>
          <w:szCs w:val="24"/>
        </w:rPr>
        <w:t xml:space="preserve">Pe de altă parte, se recunoaşte existenţa unei interacţiuni religioase cu alte religii sau cu ereziile nou apărute. </w:t>
      </w:r>
      <w:r>
        <w:rPr>
          <w:rFonts w:ascii="Gentium" w:hAnsi="Gentium" w:eastAsia="Gentium" w:cs="Gentium"/>
          <w:sz w:val="24"/>
          <w:szCs w:val="24"/>
        </w:rPr>
        <w:t xml:space="preserve">În acest context apar şi o seamă de observaţii cu privire la etnie şi viaţa religioasă şi socială.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Atitudinile principale ale politicii faţă de alte religii sunt:</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Universalismul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Inclusivismul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Caracterul radical în problematica mântuirii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Respingerea idolatriei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Adaptarea culturală (minimalism religios, acceptare culturală, limitarea influenţelor culturale)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Aspectele observabile </w:t>
      </w:r>
      <w:r>
        <w:rPr>
          <w:rFonts w:ascii="Gentium" w:hAnsi="Gentium" w:eastAsia="Gentium" w:cs="Gentium"/>
          <w:sz w:val="24"/>
          <w:szCs w:val="24"/>
        </w:rPr>
        <w:t xml:space="preserve">ale politicii religioase creştine </w:t>
      </w:r>
      <w:r>
        <w:rPr>
          <w:rFonts w:ascii="Gentium" w:hAnsi="Gentium" w:eastAsia="Gentium" w:cs="Gentium"/>
          <w:sz w:val="24"/>
          <w:szCs w:val="24"/>
        </w:rPr>
        <w:t xml:space="preserve">în NT </w:t>
      </w:r>
      <w:r>
        <w:rPr>
          <w:rFonts w:ascii="Gentium" w:hAnsi="Gentium" w:eastAsia="Gentium" w:cs="Gentium"/>
          <w:sz w:val="24"/>
          <w:szCs w:val="24"/>
        </w:rPr>
        <w:t xml:space="preserve">cuprind</w:t>
      </w:r>
      <w:r>
        <w:rPr>
          <w:rFonts w:ascii="Gentium" w:hAnsi="Gentium" w:eastAsia="Gentium" w:cs="Gentium"/>
          <w:sz w:val="24"/>
          <w:szCs w:val="24"/>
        </w:rPr>
        <w:t xml:space="preserve"> raportarea la iudaism, la erezii şi la religiile greco-romane.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5023"/>
        </w:tabs>
        <w:spacing/>
        <w:ind/>
        <w:rPr>
          <w:rFonts w:ascii="Gentium" w:hAnsi="Gentium" w:cs="Gentium"/>
          <w:i/>
          <w:sz w:val="24"/>
          <w:szCs w:val="24"/>
        </w:rPr>
      </w:pPr>
      <w:r>
        <w:rPr>
          <w:rFonts w:ascii="Gentium" w:hAnsi="Gentium" w:eastAsia="Gentium" w:cs="Gentium"/>
          <w:i/>
          <w:sz w:val="24"/>
          <w:szCs w:val="24"/>
        </w:rPr>
        <w:t xml:space="preserve">Iudaism</w:t>
      </w:r>
      <w:r>
        <w:rPr>
          <w:rFonts w:ascii="Gentium" w:hAnsi="Gentium" w:eastAsia="Gentium" w:cs="Gentium"/>
          <w:i/>
          <w:sz w:val="24"/>
          <w:szCs w:val="24"/>
        </w:rPr>
        <w:tab/>
      </w:r>
      <w:r>
        <w:rPr>
          <w:rFonts w:ascii="Gentium" w:hAnsi="Gentium" w:eastAsia="Gentium" w:cs="Gentium"/>
          <w:i/>
          <w:sz w:val="24"/>
          <w:szCs w:val="24"/>
        </w:rPr>
      </w:r>
      <w:r>
        <w:rPr>
          <w:rFonts w:ascii="Gentium" w:hAnsi="Gentium" w:cs="Gentium"/>
          <w:i/>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ce priveşte raportarea la iudaism, se observă atât afirmarea filiaţiei iudaice a creştinismului cât şi separarea de acesta, în măsura în care piatra de hotar este Isus ca Mesia.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Cărţile în care se face critica iudaismului sunt evangheliile (predicile lui Isus).</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Evenimente la limită se observă în scrisorile pastorale (1-2 Timotei, Tit).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i/>
          <w:sz w:val="24"/>
          <w:szCs w:val="24"/>
        </w:rPr>
      </w:pPr>
      <w:r>
        <w:rPr>
          <w:rFonts w:ascii="Gentium" w:hAnsi="Gentium" w:eastAsia="Gentium" w:cs="Gentium"/>
          <w:i/>
          <w:sz w:val="24"/>
          <w:szCs w:val="24"/>
        </w:rPr>
        <w:t xml:space="preserve">Erezii</w:t>
      </w:r>
      <w:r>
        <w:rPr>
          <w:rFonts w:ascii="Gentium" w:hAnsi="Gentium" w:eastAsia="Gentium" w:cs="Gentium"/>
          <w:i/>
          <w:sz w:val="24"/>
          <w:szCs w:val="24"/>
        </w:rPr>
      </w:r>
      <w:r>
        <w:rPr>
          <w:rFonts w:ascii="Gentium" w:hAnsi="Gentium" w:cs="Gentium"/>
          <w:i/>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Gnosticismul</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Gnostici (gnosis – iniţierea în cunoaşterea secretă care aduce mântuirea: caracterul negativ al materiei şi cele două consecinţe, ascetismul şi imoralitatea): Coloseni, Ioan.</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Legalismul iudaizant</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Iudaizanţi (Hristos şi Legea): Galateni, Evrei, Efeseni.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Iudaismul (Fapte, Galateni, Evrei)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Cărţile în care se tratează relaţia evanghelie – iudaism sunt Galateni, Romani, Evrei, Apocalipsa.</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i/>
          <w:sz w:val="24"/>
          <w:szCs w:val="24"/>
        </w:rPr>
      </w:pPr>
      <w:r>
        <w:rPr>
          <w:rFonts w:ascii="Gentium" w:hAnsi="Gentium" w:eastAsia="Gentium" w:cs="Gentium"/>
          <w:i/>
          <w:sz w:val="24"/>
          <w:szCs w:val="24"/>
        </w:rPr>
        <w:t xml:space="preserve">Religiile</w:t>
      </w:r>
      <w:r>
        <w:rPr>
          <w:rFonts w:ascii="Gentium" w:hAnsi="Gentium" w:eastAsia="Gentium" w:cs="Gentium"/>
          <w:i/>
          <w:sz w:val="24"/>
          <w:szCs w:val="24"/>
        </w:rPr>
        <w:t xml:space="preserve"> greco-romane</w:t>
      </w:r>
      <w:r>
        <w:rPr>
          <w:rFonts w:ascii="Gentium" w:hAnsi="Gentium" w:eastAsia="Gentium" w:cs="Gentium"/>
          <w:i/>
          <w:sz w:val="24"/>
          <w:szCs w:val="24"/>
        </w:rPr>
        <w:t xml:space="preserve"> </w:t>
      </w:r>
      <w:r>
        <w:rPr>
          <w:rFonts w:ascii="Gentium" w:hAnsi="Gentium" w:eastAsia="Gentium" w:cs="Gentium"/>
          <w:i/>
          <w:sz w:val="24"/>
          <w:szCs w:val="24"/>
        </w:rPr>
      </w:r>
      <w:r>
        <w:rPr>
          <w:rFonts w:ascii="Gentium" w:hAnsi="Gentium" w:cs="Gentium"/>
          <w:i/>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Fapte 17. </w:t>
      </w:r>
      <w:r>
        <w:rPr>
          <w:rFonts w:ascii="Gentium" w:hAnsi="Gentium" w:eastAsia="Gentium" w:cs="Gentium"/>
          <w:sz w:val="24"/>
          <w:szCs w:val="24"/>
        </w:rPr>
        <w:t xml:space="preserve">Inclusivismul cultural</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Intersecţii: altare pentru zei necunoscuţi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Acceptarea poeţilor şi filosofilor ca profeţi...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Etichetarea timpului precreştin ca „vremuri de necunoaştere”)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Panteonul grecesc: Zeus şi Hermes, Barnaba şi Pavel</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Tema persoanei divine în Luca-Faptele Apostolilor</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(Irod, Pavel şi Barnaba, Pavel şi barbarii în Malta. Prin contrast, singurul om divin este Hristos).</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Problema revelaţiei şi a referinţei culturale</w:t>
      </w:r>
      <w:r>
        <w:rPr>
          <w:rFonts w:ascii="Gentium" w:hAnsi="Gentium" w:eastAsia="Gentium" w:cs="Gentium"/>
          <w:sz w:val="24"/>
          <w:szCs w:val="24"/>
        </w:rPr>
        <w:t xml:space="preserve">: Fapte 17 şi Tit 1, poeţii ca profeţi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Concepţia despre alte religii: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Caracter mixt: </w:t>
      </w:r>
      <w:r>
        <w:rPr>
          <w:rFonts w:ascii="Gentium" w:hAnsi="Gentium" w:eastAsia="Gentium" w:cs="Gentium"/>
          <w:sz w:val="24"/>
          <w:szCs w:val="24"/>
        </w:rPr>
        <w:t xml:space="preserve">o formă de cunoaştere şi de necunoaştere a lui</w:t>
      </w:r>
      <w:r>
        <w:rPr>
          <w:rFonts w:ascii="Gentium" w:hAnsi="Gentium" w:eastAsia="Gentium" w:cs="Gentium"/>
          <w:sz w:val="24"/>
          <w:szCs w:val="24"/>
        </w:rPr>
        <w:t xml:space="preserve"> Dumnezeu.</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Reflexele religiilor păgâne în Corint</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t xml:space="preserve">Religiile păgâne şi ideea divizării pe şcoli – partide, fiecare cu liderii săi</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t xml:space="preserve">Religiile păgâne şi extazul (vorbirea în limbi extatice): 1 Corinteni 12-14; Învierea şi gândirea grecească, vezi tema </w:t>
      </w:r>
      <w:r>
        <w:rPr>
          <w:rFonts w:ascii="Gentium" w:hAnsi="Gentium" w:eastAsia="Gentium" w:cs="Gentium"/>
          <w:i/>
          <w:sz w:val="24"/>
          <w:szCs w:val="24"/>
        </w:rPr>
        <w:t xml:space="preserve">carpe diem</w:t>
      </w:r>
      <w:r>
        <w:rPr>
          <w:rFonts w:ascii="Gentium" w:hAnsi="Gentium" w:eastAsia="Gentium" w:cs="Gentium"/>
          <w:sz w:val="24"/>
          <w:szCs w:val="24"/>
        </w:rPr>
        <w:t xml:space="preserve"> (1 Corinteni 15).</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Elemente de politici etnice şi ideologice: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Iudeii: revelaţie, binecuvântare şi naţionalism</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Romanii: dreptate şi politica puterii (imperium</w:t>
      </w:r>
      <w:r>
        <w:rPr>
          <w:rFonts w:ascii="Gentium" w:hAnsi="Gentium" w:eastAsia="Gentium" w:cs="Gentium"/>
          <w:sz w:val="24"/>
          <w:szCs w:val="24"/>
        </w:rPr>
        <w:t xml:space="preserve"> - regnum</w:t>
      </w:r>
      <w:r>
        <w:rPr>
          <w:rFonts w:ascii="Gentium" w:hAnsi="Gentium" w:eastAsia="Gentium" w:cs="Gentium"/>
          <w:sz w:val="24"/>
          <w:szCs w:val="24"/>
        </w:rPr>
        <w:t xml:space="preserve">, veritas, </w:t>
      </w:r>
      <w:r>
        <w:rPr>
          <w:rFonts w:ascii="Gentium" w:hAnsi="Gentium" w:eastAsia="Gentium" w:cs="Gentium"/>
          <w:sz w:val="24"/>
          <w:szCs w:val="24"/>
        </w:rPr>
        <w:t xml:space="preserve">potestatate</w:t>
      </w:r>
      <w:r>
        <w:rPr>
          <w:rFonts w:ascii="Gentium" w:hAnsi="Gentium" w:eastAsia="Gentium" w:cs="Gentium"/>
          <w:sz w:val="24"/>
          <w:szCs w:val="24"/>
        </w:rPr>
        <w:t xml:space="preserve">; cf. discuţia lui Isus cu Pilat, în ev. după Ioan şi după Marcu</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Creştinismul şi politica sa faţă de Rom</w:t>
      </w:r>
      <w:r>
        <w:rPr>
          <w:rFonts w:ascii="Gentium" w:hAnsi="Gentium" w:eastAsia="Gentium" w:cs="Gentium"/>
          <w:sz w:val="24"/>
          <w:szCs w:val="24"/>
        </w:rPr>
        <w:t xml:space="preserve">a: militarii, judecătorii, administratorii imperiali, procuratorii, casa Cezarului.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Cretanii: problemele sociale şi </w:t>
      </w:r>
      <w:r>
        <w:rPr>
          <w:rFonts w:ascii="Gentium" w:hAnsi="Gentium" w:eastAsia="Gentium" w:cs="Gentium"/>
          <w:sz w:val="24"/>
          <w:szCs w:val="24"/>
        </w:rPr>
        <w:t xml:space="preserve">religioase într-o naţiune mediteraneeană</w:t>
      </w:r>
      <w:r>
        <w:rPr>
          <w:rFonts w:ascii="Gentium" w:hAnsi="Gentium" w:eastAsia="Gentium" w:cs="Gentium"/>
          <w:sz w:val="24"/>
          <w:szCs w:val="24"/>
        </w:rPr>
        <w:t xml:space="preserve"> (Tit; cf. 1 Timotei: Efes)</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Valorile politicii religioase: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Coexistenţa, dialogul, pluralismul,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specificitatea şi unicitatea</w:t>
      </w:r>
      <w:r>
        <w:rPr>
          <w:rFonts w:ascii="Gentium" w:hAnsi="Gentium" w:eastAsia="Gentium" w:cs="Gentium"/>
          <w:sz w:val="24"/>
          <w:szCs w:val="24"/>
        </w:rPr>
        <w:t xml:space="preserve"> (radicalismul)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Creşt</w:t>
      </w:r>
      <w:r>
        <w:rPr>
          <w:rFonts w:ascii="Gentium" w:hAnsi="Gentium" w:eastAsia="Gentium" w:cs="Gentium"/>
          <w:sz w:val="24"/>
          <w:szCs w:val="24"/>
        </w:rPr>
        <w:t xml:space="preserve">inismul şi politica religioasă:</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Religiile greco-romane (cf. Fapte 17)</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Politici religioase în 1-2 Ioan şi în 2 Petru – Iuda, precum şi în 1 Timotei – Tit.</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Tema religiilor păgâne, în Efes şi în Creta, cf. Coloseni (1-2 Timotei, Tit; Atena şi Fapte 17; Tit 1 şi cretanii).</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r>
      <w:bookmarkStart w:id="66" w:name="_Toc252991870"/>
      <w:r>
        <w:rPr>
          <w:rFonts w:ascii="Gentium" w:hAnsi="Gentium" w:eastAsia="Gentium" w:cs="Gentium"/>
          <w:sz w:val="24"/>
          <w:szCs w:val="24"/>
        </w:rPr>
        <w:t xml:space="preserve">Curs </w:t>
      </w:r>
      <w:r>
        <w:rPr>
          <w:rFonts w:ascii="Gentium" w:hAnsi="Gentium" w:eastAsia="Gentium" w:cs="Gentium"/>
          <w:sz w:val="24"/>
          <w:szCs w:val="24"/>
          <w:lang w:val="en-US"/>
        </w:rPr>
        <w:t xml:space="preserve">12</w:t>
      </w:r>
      <w:r>
        <w:rPr>
          <w:rFonts w:ascii="Gentium" w:hAnsi="Gentium" w:eastAsia="Gentium" w:cs="Gentium"/>
          <w:sz w:val="24"/>
          <w:szCs w:val="24"/>
        </w:rPr>
        <w:t xml:space="preserve">. </w:t>
      </w:r>
      <w:r>
        <w:rPr>
          <w:rFonts w:ascii="Gentium" w:hAnsi="Gentium" w:eastAsia="Gentium" w:cs="Gentium"/>
          <w:sz w:val="24"/>
          <w:szCs w:val="24"/>
        </w:rPr>
        <w:t xml:space="preserve">Teologia </w:t>
      </w:r>
      <w:r>
        <w:rPr>
          <w:rFonts w:ascii="Gentium" w:hAnsi="Gentium" w:eastAsia="Gentium" w:cs="Gentium"/>
          <w:sz w:val="24"/>
          <w:szCs w:val="24"/>
        </w:rPr>
        <w:t xml:space="preserve">NT şi </w:t>
      </w:r>
      <w:r>
        <w:rPr>
          <w:rFonts w:ascii="Gentium" w:hAnsi="Gentium" w:eastAsia="Gentium" w:cs="Gentium"/>
          <w:sz w:val="24"/>
          <w:szCs w:val="24"/>
        </w:rPr>
        <w:t xml:space="preserve">antropologia</w:t>
      </w:r>
      <w:bookmarkEnd w:id="66"/>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fundamentele politicii NT intră concepţia despre om şi despre destinul său. Câteva teme importanta se află într-o relaţie specială: c</w:t>
      </w:r>
      <w:r>
        <w:rPr>
          <w:rFonts w:ascii="Gentium" w:hAnsi="Gentium" w:eastAsia="Gentium" w:cs="Gentium"/>
          <w:sz w:val="24"/>
          <w:szCs w:val="24"/>
        </w:rPr>
        <w:t xml:space="preserve">reaţie, antropologie, istorie, politică, escatologie.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12</w:t>
      </w:r>
      <w:bookmarkStart w:id="67" w:name="_Toc252991871"/>
      <w:r>
        <w:rPr>
          <w:rFonts w:ascii="Gentium" w:hAnsi="Gentium" w:eastAsia="Gentium" w:cs="Gentium"/>
          <w:sz w:val="24"/>
          <w:szCs w:val="24"/>
          <w:lang w:val="ro-RO"/>
        </w:rPr>
        <w:t xml:space="preserve">.1 Antropologie h</w:t>
      </w:r>
      <w:r>
        <w:rPr>
          <w:rFonts w:ascii="Gentium" w:hAnsi="Gentium" w:eastAsia="Gentium" w:cs="Gentium"/>
          <w:sz w:val="24"/>
          <w:szCs w:val="24"/>
          <w:lang w:val="ro-RO"/>
        </w:rPr>
        <w:t xml:space="preserve">ristică</w:t>
      </w:r>
      <w:bookmarkEnd w:id="67"/>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Întrucât politica se face cu oamenii, este important să se înţeleagă percepţia NT cu privire la existenţa şi destinul umanităţii.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Datele antropologiei s-au modificat odată cu întruparea lui Isus Hristos. </w:t>
      </w:r>
      <w:r>
        <w:rPr>
          <w:rFonts w:ascii="Gentium" w:hAnsi="Gentium" w:eastAsia="Gentium" w:cs="Gentium"/>
          <w:sz w:val="24"/>
          <w:szCs w:val="24"/>
        </w:rPr>
        <w:t xml:space="preserve">Se poate vorbi despre afirmarea potenţialului umanităţii în termeni noi. </w:t>
      </w:r>
      <w:r>
        <w:rPr>
          <w:rFonts w:ascii="Gentium" w:hAnsi="Gentium" w:eastAsia="Gentium" w:cs="Gentium"/>
          <w:sz w:val="24"/>
          <w:szCs w:val="24"/>
        </w:rPr>
        <w:t xml:space="preserve">NT</w:t>
      </w:r>
      <w:r>
        <w:rPr>
          <w:rFonts w:ascii="Gentium" w:hAnsi="Gentium" w:eastAsia="Gentium" w:cs="Gentium"/>
          <w:sz w:val="24"/>
          <w:szCs w:val="24"/>
        </w:rPr>
        <w:t xml:space="preserve"> vorbeşte, astfel, despre o creaţie nouă în Hristos (1 Cor.</w:t>
      </w:r>
      <w:r>
        <w:rPr>
          <w:rFonts w:ascii="Gentium" w:hAnsi="Gentium" w:eastAsia="Gentium" w:cs="Gentium"/>
          <w:sz w:val="24"/>
          <w:szCs w:val="24"/>
        </w:rPr>
        <w:t xml:space="preserve"> </w:t>
      </w:r>
      <w:r>
        <w:rPr>
          <w:rFonts w:ascii="Gentium" w:hAnsi="Gentium" w:eastAsia="Gentium" w:cs="Gentium"/>
          <w:sz w:val="24"/>
          <w:szCs w:val="24"/>
        </w:rPr>
        <w:t xml:space="preserve">5.17) sau despre un viitor măreţ, </w:t>
      </w:r>
      <w:r>
        <w:rPr>
          <w:rFonts w:ascii="Gentium" w:hAnsi="Gentium" w:eastAsia="Gentium" w:cs="Gentium"/>
          <w:sz w:val="24"/>
          <w:szCs w:val="24"/>
        </w:rPr>
        <w:t xml:space="preserve">misterios, </w:t>
      </w:r>
      <w:r>
        <w:rPr>
          <w:rFonts w:ascii="Gentium" w:hAnsi="Gentium" w:eastAsia="Gentium" w:cs="Gentium"/>
          <w:sz w:val="24"/>
          <w:szCs w:val="24"/>
        </w:rPr>
        <w:t xml:space="preserve">încă neştiut</w:t>
      </w:r>
      <w:r>
        <w:rPr>
          <w:rFonts w:ascii="Gentium" w:hAnsi="Gentium" w:eastAsia="Gentium" w:cs="Gentium"/>
          <w:sz w:val="24"/>
          <w:szCs w:val="24"/>
        </w:rPr>
        <w:t xml:space="preserve">, pe care oamenii credincioşi în Hristos în vor avea la venirea lui Hristos</w:t>
      </w:r>
      <w:r>
        <w:rPr>
          <w:rFonts w:ascii="Gentium" w:hAnsi="Gentium" w:eastAsia="Gentium" w:cs="Gentium"/>
          <w:sz w:val="24"/>
          <w:szCs w:val="24"/>
        </w:rPr>
        <w:t xml:space="preserve"> (1Ioan 3.1).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altă dată esenţială </w:t>
      </w:r>
      <w:r>
        <w:rPr>
          <w:rFonts w:ascii="Gentium" w:hAnsi="Gentium" w:eastAsia="Gentium" w:cs="Gentium"/>
          <w:sz w:val="24"/>
          <w:szCs w:val="24"/>
        </w:rPr>
        <w:t xml:space="preserve">a concepţiei NT </w:t>
      </w:r>
      <w:r>
        <w:rPr>
          <w:rFonts w:ascii="Gentium" w:hAnsi="Gentium" w:eastAsia="Gentium" w:cs="Gentium"/>
          <w:sz w:val="24"/>
          <w:szCs w:val="24"/>
        </w:rPr>
        <w:t xml:space="preserve">este schimbarea dispensaţiei, a „iconomiei”, a regimului legăturii între Duhul Sfânt şi om. Ziua Rusaliilor (Cincizecime) este </w:t>
      </w:r>
      <w:r>
        <w:rPr>
          <w:rFonts w:ascii="Gentium" w:hAnsi="Gentium" w:eastAsia="Gentium" w:cs="Gentium"/>
          <w:sz w:val="24"/>
          <w:szCs w:val="24"/>
        </w:rPr>
        <w:t xml:space="preserve">celebrarea acestei schimbări şi „începutul” Bisericii. Oamenii au </w:t>
      </w:r>
      <w:r>
        <w:rPr>
          <w:rFonts w:ascii="Gentium" w:hAnsi="Gentium" w:eastAsia="Gentium" w:cs="Gentium"/>
          <w:sz w:val="24"/>
          <w:szCs w:val="24"/>
        </w:rPr>
        <w:t xml:space="preserve">un </w:t>
      </w:r>
      <w:r>
        <w:rPr>
          <w:rFonts w:ascii="Gentium" w:hAnsi="Gentium" w:eastAsia="Gentium" w:cs="Gentium"/>
          <w:sz w:val="24"/>
          <w:szCs w:val="24"/>
        </w:rPr>
        <w:t xml:space="preserve">alt mod de a lua decizii, alte motivaţii, nu doar preferinţele personale, ci şi perspectiva divină</w:t>
      </w:r>
      <w:r>
        <w:rPr>
          <w:rFonts w:ascii="Gentium" w:hAnsi="Gentium" w:eastAsia="Gentium" w:cs="Gentium"/>
          <w:sz w:val="24"/>
          <w:szCs w:val="24"/>
        </w:rPr>
        <w:t xml:space="preserve"> şi chiar participarea divină</w:t>
      </w:r>
      <w:r>
        <w:rPr>
          <w:rFonts w:ascii="Gentium" w:hAnsi="Gentium" w:eastAsia="Gentium" w:cs="Gentium"/>
          <w:sz w:val="24"/>
          <w:szCs w:val="24"/>
        </w:rPr>
        <w:t xml:space="preserve">. </w:t>
      </w:r>
      <w:r>
        <w:rPr>
          <w:rFonts w:ascii="Gentium" w:hAnsi="Gentium" w:eastAsia="Gentium" w:cs="Gentium"/>
          <w:sz w:val="24"/>
          <w:szCs w:val="24"/>
        </w:rPr>
        <w:t xml:space="preserve">Cf. Fapte 15.28; Fapte 13.2.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Posibilitatea învierii şi a eternităţii, schimbă datele problemei. Angoasa existenţială </w:t>
      </w:r>
      <w:r>
        <w:rPr>
          <w:rFonts w:ascii="Gentium" w:hAnsi="Gentium" w:eastAsia="Gentium" w:cs="Gentium"/>
          <w:sz w:val="24"/>
          <w:szCs w:val="24"/>
        </w:rPr>
        <w:t xml:space="preserve">îşi pierde din intensitate</w:t>
      </w:r>
      <w:r>
        <w:rPr>
          <w:rFonts w:ascii="Gentium" w:hAnsi="Gentium" w:eastAsia="Gentium" w:cs="Gentium"/>
          <w:sz w:val="24"/>
          <w:szCs w:val="24"/>
        </w:rPr>
        <w:t xml:space="preserve">, presiunea prezentului </w:t>
      </w:r>
      <w:r>
        <w:rPr>
          <w:rFonts w:ascii="Gentium" w:hAnsi="Gentium" w:eastAsia="Gentium" w:cs="Gentium"/>
          <w:sz w:val="24"/>
          <w:szCs w:val="24"/>
        </w:rPr>
        <w:t xml:space="preserve">îmbracă </w:t>
      </w:r>
      <w:r>
        <w:rPr>
          <w:rFonts w:ascii="Gentium" w:hAnsi="Gentium" w:eastAsia="Gentium" w:cs="Gentium"/>
          <w:sz w:val="24"/>
          <w:szCs w:val="24"/>
        </w:rPr>
        <w:t xml:space="preserve">alte forme, capacitatea de planificare </w:t>
      </w:r>
      <w:r>
        <w:rPr>
          <w:rFonts w:ascii="Gentium" w:hAnsi="Gentium" w:eastAsia="Gentium" w:cs="Gentium"/>
          <w:sz w:val="24"/>
          <w:szCs w:val="24"/>
        </w:rPr>
        <w:t xml:space="preserve">a vieţii </w:t>
      </w:r>
      <w:r>
        <w:rPr>
          <w:rFonts w:ascii="Gentium" w:hAnsi="Gentium" w:eastAsia="Gentium" w:cs="Gentium"/>
          <w:sz w:val="24"/>
          <w:szCs w:val="24"/>
        </w:rPr>
        <w:t xml:space="preserve">ia alte forme.</w:t>
      </w:r>
      <w:r>
        <w:rPr>
          <w:rFonts w:ascii="Gentium" w:hAnsi="Gentium" w:eastAsia="Gentium" w:cs="Gentium"/>
          <w:sz w:val="24"/>
          <w:szCs w:val="24"/>
        </w:rPr>
        <w:t xml:space="preserve"> Toate acestea duc la altă politică.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12</w:t>
      </w:r>
      <w:bookmarkStart w:id="68" w:name="_Toc252991872"/>
      <w:r>
        <w:rPr>
          <w:rFonts w:ascii="Gentium" w:hAnsi="Gentium" w:eastAsia="Gentium" w:cs="Gentium"/>
          <w:sz w:val="24"/>
          <w:szCs w:val="24"/>
          <w:lang w:val="ro-RO"/>
        </w:rPr>
        <w:t xml:space="preserve">.</w:t>
      </w:r>
      <w:r>
        <w:rPr>
          <w:rFonts w:ascii="Gentium" w:hAnsi="Gentium" w:eastAsia="Gentium" w:cs="Gentium"/>
          <w:sz w:val="24"/>
          <w:szCs w:val="24"/>
          <w:lang w:val="ro-RO"/>
        </w:rPr>
        <w:t xml:space="preserve">2 </w:t>
      </w:r>
      <w:r>
        <w:rPr>
          <w:rFonts w:ascii="Gentium" w:hAnsi="Gentium" w:eastAsia="Gentium" w:cs="Gentium"/>
          <w:sz w:val="24"/>
          <w:szCs w:val="24"/>
          <w:lang w:val="ro-RO"/>
        </w:rPr>
        <w:t xml:space="preserve">Organizare</w:t>
      </w:r>
      <w:r>
        <w:rPr>
          <w:rFonts w:ascii="Gentium" w:hAnsi="Gentium" w:eastAsia="Gentium" w:cs="Gentium"/>
          <w:sz w:val="24"/>
          <w:szCs w:val="24"/>
          <w:lang w:val="ro-RO"/>
        </w:rPr>
        <w:t xml:space="preserve">a</w:t>
      </w:r>
      <w:r>
        <w:rPr>
          <w:rFonts w:ascii="Gentium" w:hAnsi="Gentium" w:eastAsia="Gentium" w:cs="Gentium"/>
          <w:sz w:val="24"/>
          <w:szCs w:val="24"/>
          <w:lang w:val="ro-RO"/>
        </w:rPr>
        <w:t xml:space="preserve"> politică şi apocalipticul</w:t>
      </w:r>
      <w:bookmarkEnd w:id="68"/>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Există în creştinism, ca şi în alte religii majore, o viziune globală despre istorie, despre dreptate la nivel internaţional, în legătură cu oamenii şi în legătură cu divinitatea. Viziunea aceasta este legată de apocalptic.</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 </w:t>
      </w:r>
      <w:r>
        <w:rPr>
          <w:rFonts w:ascii="Gentium" w:hAnsi="Gentium" w:eastAsia="Gentium" w:cs="Gentium"/>
          <w:sz w:val="24"/>
          <w:szCs w:val="24"/>
        </w:rPr>
        <w:t xml:space="preserve">Viziunea universală a creştinismului</w:t>
      </w:r>
      <w:r>
        <w:rPr>
          <w:rFonts w:ascii="Gentium" w:hAnsi="Gentium" w:eastAsia="Gentium" w:cs="Gentium"/>
          <w:sz w:val="24"/>
          <w:szCs w:val="24"/>
        </w:rPr>
        <w:t xml:space="preserve"> </w:t>
      </w:r>
      <w:r>
        <w:rPr>
          <w:rFonts w:ascii="Gentium" w:hAnsi="Gentium" w:eastAsia="Gentium" w:cs="Gentium"/>
          <w:sz w:val="24"/>
          <w:szCs w:val="24"/>
        </w:rPr>
        <w:t xml:space="preserve">– şi tipul de existenţă pe care îl recomandă</w:t>
      </w:r>
      <w:r>
        <w:rPr>
          <w:rFonts w:ascii="Gentium" w:hAnsi="Gentium" w:eastAsia="Gentium" w:cs="Gentium"/>
          <w:sz w:val="24"/>
          <w:szCs w:val="24"/>
        </w:rPr>
        <w:t xml:space="preserve"> (împărăţia lui Dumnezeu)</w:t>
      </w:r>
      <w:r>
        <w:rPr>
          <w:rFonts w:ascii="Gentium" w:hAnsi="Gentium" w:eastAsia="Gentium" w:cs="Gentium"/>
          <w:sz w:val="24"/>
          <w:szCs w:val="24"/>
        </w:rPr>
        <w:t xml:space="preserve"> – </w:t>
      </w:r>
      <w:r>
        <w:rPr>
          <w:rFonts w:ascii="Gentium" w:hAnsi="Gentium" w:eastAsia="Gentium" w:cs="Gentium"/>
          <w:sz w:val="24"/>
          <w:szCs w:val="24"/>
        </w:rPr>
        <w:t xml:space="preserve">are câteva puncte majore de referinţă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vesteşte </w:t>
      </w:r>
      <w:r>
        <w:rPr>
          <w:rFonts w:ascii="Gentium" w:hAnsi="Gentium" w:eastAsia="Gentium" w:cs="Gentium"/>
          <w:sz w:val="24"/>
          <w:szCs w:val="24"/>
        </w:rPr>
        <w:t xml:space="preserve">o împărăţie deschisă tuturor</w:t>
      </w:r>
      <w:r>
        <w:rPr>
          <w:rFonts w:ascii="Gentium" w:hAnsi="Gentium" w:eastAsia="Gentium" w:cs="Gentium"/>
          <w:sz w:val="24"/>
          <w:szCs w:val="24"/>
        </w:rPr>
        <w:t xml:space="preserve"> (este inclusivist, universal)</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are </w:t>
      </w:r>
      <w:r>
        <w:rPr>
          <w:rFonts w:ascii="Gentium" w:hAnsi="Gentium" w:eastAsia="Gentium" w:cs="Gentium"/>
          <w:sz w:val="24"/>
          <w:szCs w:val="24"/>
        </w:rPr>
        <w:t xml:space="preserve">o împărăţie fără capitală</w:t>
      </w:r>
      <w:r>
        <w:rPr>
          <w:rFonts w:ascii="Gentium" w:hAnsi="Gentium" w:eastAsia="Gentium" w:cs="Gentium"/>
          <w:sz w:val="24"/>
          <w:szCs w:val="24"/>
        </w:rPr>
        <w:t xml:space="preserve"> terestră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are </w:t>
      </w:r>
      <w:r>
        <w:rPr>
          <w:rFonts w:ascii="Gentium" w:hAnsi="Gentium" w:eastAsia="Gentium" w:cs="Gentium"/>
          <w:sz w:val="24"/>
          <w:szCs w:val="24"/>
        </w:rPr>
        <w:t xml:space="preserve">o împărăţie </w:t>
      </w:r>
      <w:r>
        <w:rPr>
          <w:rFonts w:ascii="Gentium" w:hAnsi="Gentium" w:eastAsia="Gentium" w:cs="Gentium"/>
          <w:sz w:val="24"/>
          <w:szCs w:val="24"/>
        </w:rPr>
        <w:t xml:space="preserve">care nu se integ</w:t>
      </w:r>
      <w:r>
        <w:rPr>
          <w:rFonts w:ascii="Gentium" w:hAnsi="Gentium" w:eastAsia="Gentium" w:cs="Gentium"/>
          <w:sz w:val="24"/>
          <w:szCs w:val="24"/>
        </w:rPr>
        <w:t xml:space="preserve">rează altor imperii</w:t>
      </w:r>
      <w:r>
        <w:rPr>
          <w:rFonts w:ascii="Gentium" w:hAnsi="Gentium" w:eastAsia="Gentium" w:cs="Gentium"/>
          <w:sz w:val="24"/>
          <w:szCs w:val="24"/>
        </w:rPr>
        <w:t xml:space="preserve">, care îşi revendică „marginile pământului” (toată planeta)</w:t>
      </w:r>
      <w:r>
        <w:rPr>
          <w:rFonts w:ascii="Gentium" w:hAnsi="Gentium" w:eastAsia="Gentium" w:cs="Gentium"/>
          <w:sz w:val="24"/>
          <w:szCs w:val="24"/>
        </w:rPr>
        <w:t xml:space="preserve"> şi care rămâne </w:t>
      </w:r>
      <w:r>
        <w:rPr>
          <w:rFonts w:ascii="Gentium" w:hAnsi="Gentium" w:eastAsia="Gentium" w:cs="Gentium"/>
          <w:sz w:val="24"/>
          <w:szCs w:val="24"/>
        </w:rPr>
        <w:t xml:space="preserve">mereu</w:t>
      </w:r>
      <w:r>
        <w:rPr>
          <w:rFonts w:ascii="Gentium" w:hAnsi="Gentium" w:eastAsia="Gentium" w:cs="Gentium"/>
          <w:sz w:val="24"/>
          <w:szCs w:val="24"/>
        </w:rPr>
        <w:t xml:space="preserve"> într-o</w:t>
      </w:r>
      <w:r>
        <w:rPr>
          <w:rFonts w:ascii="Gentium" w:hAnsi="Gentium" w:eastAsia="Gentium" w:cs="Gentium"/>
          <w:sz w:val="24"/>
          <w:szCs w:val="24"/>
        </w:rPr>
        <w:t xml:space="preserve"> anumită opoziţie</w:t>
      </w:r>
      <w:r>
        <w:rPr>
          <w:rFonts w:ascii="Gentium" w:hAnsi="Gentium" w:eastAsia="Gentium" w:cs="Gentium"/>
          <w:sz w:val="24"/>
          <w:szCs w:val="24"/>
        </w:rPr>
        <w:t xml:space="preserve"> politică faţă de sistemele şi regimurile politice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Împărăţia lui Dumnezeu este mai mult decât Biserica.</w:t>
      </w:r>
      <w:r>
        <w:rPr>
          <w:rFonts w:ascii="Gentium" w:hAnsi="Gentium" w:eastAsia="Gentium" w:cs="Gentium"/>
          <w:sz w:val="24"/>
          <w:szCs w:val="24"/>
        </w:rPr>
        <w:t xml:space="preserve"> </w:t>
      </w:r>
      <w:r>
        <w:rPr>
          <w:rFonts w:ascii="Gentium" w:hAnsi="Gentium" w:eastAsia="Gentium" w:cs="Gentium"/>
          <w:sz w:val="24"/>
          <w:szCs w:val="24"/>
        </w:rPr>
        <w:t xml:space="preserve">În principiu, e</w:t>
      </w:r>
      <w:r>
        <w:rPr>
          <w:rFonts w:ascii="Gentium" w:hAnsi="Gentium" w:eastAsia="Gentium" w:cs="Gentium"/>
          <w:sz w:val="24"/>
          <w:szCs w:val="24"/>
        </w:rPr>
        <w:t xml:space="preserve">a cuprinde tot universul</w:t>
      </w:r>
      <w:r>
        <w:rPr>
          <w:rFonts w:ascii="Gentium" w:hAnsi="Gentium" w:eastAsia="Gentium" w:cs="Gentium"/>
          <w:sz w:val="24"/>
          <w:szCs w:val="24"/>
        </w:rPr>
        <w:t xml:space="preserve"> şi orice fiinţă</w:t>
      </w:r>
      <w:r>
        <w:rPr>
          <w:rFonts w:ascii="Gentium" w:hAnsi="Gentium" w:eastAsia="Gentium" w:cs="Gentium"/>
          <w:sz w:val="24"/>
          <w:szCs w:val="24"/>
        </w:rPr>
        <w:t xml:space="preserve">. Biserica are însă un loc </w:t>
      </w:r>
      <w:r>
        <w:rPr>
          <w:rFonts w:ascii="Gentium" w:hAnsi="Gentium" w:eastAsia="Gentium" w:cs="Gentium"/>
          <w:sz w:val="24"/>
          <w:szCs w:val="24"/>
        </w:rPr>
        <w:t xml:space="preserve">aparte</w:t>
      </w:r>
      <w:r>
        <w:rPr>
          <w:rFonts w:ascii="Gentium" w:hAnsi="Gentium" w:eastAsia="Gentium" w:cs="Gentium"/>
          <w:sz w:val="24"/>
          <w:szCs w:val="24"/>
        </w:rPr>
        <w:t xml:space="preserve"> în această împărăţie</w:t>
      </w:r>
      <w:r>
        <w:rPr>
          <w:rFonts w:ascii="Gentium" w:hAnsi="Gentium" w:eastAsia="Gentium" w:cs="Gentium"/>
          <w:sz w:val="24"/>
          <w:szCs w:val="24"/>
        </w:rPr>
        <w:t xml:space="preserve">, fiind „trupul” lui Hristos şi „mireasa” lui Hristos</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o împărăţie care a început şi care va constitui punctul</w:t>
      </w:r>
      <w:r>
        <w:rPr>
          <w:rFonts w:ascii="Gentium" w:hAnsi="Gentium" w:eastAsia="Gentium" w:cs="Gentium"/>
          <w:sz w:val="24"/>
          <w:szCs w:val="24"/>
        </w:rPr>
        <w:t xml:space="preserve"> </w:t>
      </w:r>
      <w:r>
        <w:rPr>
          <w:rFonts w:ascii="Gentium" w:hAnsi="Gentium" w:eastAsia="Gentium" w:cs="Gentium"/>
          <w:sz w:val="24"/>
          <w:szCs w:val="24"/>
        </w:rPr>
        <w:t xml:space="preserve">culminant al istoriei.</w:t>
      </w:r>
      <w:r>
        <w:rPr>
          <w:rFonts w:ascii="Gentium" w:hAnsi="Gentium" w:eastAsia="Gentium" w:cs="Gentium"/>
          <w:sz w:val="24"/>
          <w:szCs w:val="24"/>
        </w:rPr>
        <w:t xml:space="preserve"> Ea</w:t>
      </w:r>
      <w:r>
        <w:rPr>
          <w:rFonts w:ascii="Gentium" w:hAnsi="Gentium" w:eastAsia="Gentium" w:cs="Gentium"/>
          <w:sz w:val="24"/>
          <w:szCs w:val="24"/>
        </w:rPr>
        <w:t xml:space="preserve"> va subordona to</w:t>
      </w:r>
      <w:r>
        <w:rPr>
          <w:rFonts w:ascii="Gentium" w:hAnsi="Gentium" w:eastAsia="Gentium" w:cs="Gentium"/>
          <w:sz w:val="24"/>
          <w:szCs w:val="24"/>
        </w:rPr>
        <w:t xml:space="preserve">tul şi care nu va avea sfârşit, al cărei conducător este Hristos.</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4"/>
        </w:numPr>
        <w:pBdr/>
        <w:spacing/>
        <w:ind/>
        <w:rPr>
          <w:rFonts w:ascii="Gentium" w:hAnsi="Gentium" w:cs="Gentium"/>
          <w:sz w:val="24"/>
          <w:szCs w:val="24"/>
        </w:rPr>
      </w:pPr>
      <w:r>
        <w:rPr>
          <w:rFonts w:ascii="Gentium" w:hAnsi="Gentium" w:eastAsia="Gentium" w:cs="Gentium"/>
          <w:sz w:val="24"/>
          <w:szCs w:val="24"/>
        </w:rPr>
        <w:t xml:space="preserve">o împărăţie unde sentimentul centralităţii  şi eficienţei este</w:t>
      </w:r>
      <w:r>
        <w:rPr>
          <w:rFonts w:ascii="Gentium" w:hAnsi="Gentium" w:eastAsia="Gentium" w:cs="Gentium"/>
          <w:sz w:val="24"/>
          <w:szCs w:val="24"/>
        </w:rPr>
        <w:t xml:space="preserve"> schimbat (omul sfinţeşte locul</w:t>
      </w:r>
      <w:r>
        <w:rPr>
          <w:rFonts w:ascii="Gentium" w:hAnsi="Gentium" w:eastAsia="Gentium" w:cs="Gentium"/>
          <w:sz w:val="24"/>
          <w:szCs w:val="24"/>
        </w:rPr>
        <w:t xml:space="preserve">; d</w:t>
      </w:r>
      <w:r>
        <w:rPr>
          <w:rFonts w:ascii="Gentium" w:hAnsi="Gentium" w:eastAsia="Gentium" w:cs="Gentium"/>
          <w:sz w:val="24"/>
          <w:szCs w:val="24"/>
        </w:rPr>
        <w:t xml:space="preserve">ispare sentimentul de periferie</w:t>
      </w:r>
      <w:r>
        <w:rPr>
          <w:rFonts w:ascii="Gentium" w:hAnsi="Gentium" w:eastAsia="Gentium" w:cs="Gentium"/>
          <w:sz w:val="24"/>
          <w:szCs w:val="24"/>
        </w:rPr>
        <w:t xml:space="preserve">; orice faci este „la centru”, are importanţă majoră; se schimbă percepţia asupra importanţei relative a vieţii).</w:t>
      </w:r>
      <w:r>
        <w:rPr>
          <w:rFonts w:ascii="Gentium" w:hAnsi="Gentium" w:eastAsia="Gentium" w:cs="Gentium"/>
          <w:sz w:val="24"/>
          <w:szCs w:val="24"/>
        </w:rPr>
      </w:r>
      <w:r>
        <w:rPr>
          <w:rFonts w:ascii="Gentium" w:hAnsi="Gentium" w:cs="Gentium"/>
          <w:sz w:val="24"/>
          <w:szCs w:val="24"/>
        </w:rPr>
      </w:r>
    </w:p>
    <w:p>
      <w:pPr>
        <w:pStyle w:val="186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b. Creştinismul are o viziune apocaliptică despre istorie, care implică: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5"/>
        </w:numPr>
        <w:pBdr/>
        <w:spacing/>
        <w:ind/>
        <w:rPr>
          <w:rFonts w:ascii="Gentium" w:hAnsi="Gentium" w:cs="Gentium"/>
          <w:sz w:val="24"/>
          <w:szCs w:val="24"/>
        </w:rPr>
      </w:pPr>
      <w:r>
        <w:rPr>
          <w:rFonts w:ascii="Gentium" w:hAnsi="Gentium" w:eastAsia="Gentium" w:cs="Gentium"/>
          <w:sz w:val="24"/>
          <w:szCs w:val="24"/>
        </w:rPr>
        <w:t xml:space="preserve">ide</w:t>
      </w:r>
      <w:r>
        <w:rPr>
          <w:rFonts w:ascii="Gentium" w:hAnsi="Gentium" w:eastAsia="Gentium" w:cs="Gentium"/>
          <w:sz w:val="24"/>
          <w:szCs w:val="24"/>
        </w:rPr>
        <w:t xml:space="preserve">e</w:t>
      </w:r>
      <w:r>
        <w:rPr>
          <w:rFonts w:ascii="Gentium" w:hAnsi="Gentium" w:eastAsia="Gentium" w:cs="Gentium"/>
          <w:sz w:val="24"/>
          <w:szCs w:val="24"/>
        </w:rPr>
        <w:t xml:space="preserve">a că divinitatea are un plan de </w:t>
      </w:r>
      <w:r>
        <w:rPr>
          <w:rFonts w:ascii="Gentium" w:hAnsi="Gentium" w:eastAsia="Gentium" w:cs="Gentium"/>
          <w:sz w:val="24"/>
          <w:szCs w:val="24"/>
        </w:rPr>
        <w:t xml:space="preserve">aplicare a justiţiei divine (de </w:t>
      </w:r>
      <w:r>
        <w:rPr>
          <w:rFonts w:ascii="Gentium" w:hAnsi="Gentium" w:eastAsia="Gentium" w:cs="Gentium"/>
          <w:sz w:val="24"/>
          <w:szCs w:val="24"/>
        </w:rPr>
        <w:t xml:space="preserve">dreptate </w:t>
      </w:r>
      <w:r>
        <w:rPr>
          <w:rFonts w:ascii="Gentium" w:hAnsi="Gentium" w:eastAsia="Gentium" w:cs="Gentium"/>
          <w:sz w:val="24"/>
          <w:szCs w:val="24"/>
        </w:rPr>
        <w:t xml:space="preserve">universală) </w:t>
      </w:r>
      <w:r>
        <w:rPr>
          <w:rFonts w:ascii="Gentium" w:hAnsi="Gentium" w:eastAsia="Gentium" w:cs="Gentium"/>
          <w:sz w:val="24"/>
          <w:szCs w:val="24"/>
        </w:rPr>
        <w:t xml:space="preserve">şi acest plan se </w:t>
      </w:r>
      <w:r>
        <w:rPr>
          <w:rFonts w:ascii="Gentium" w:hAnsi="Gentium" w:eastAsia="Gentium" w:cs="Gentium"/>
          <w:sz w:val="24"/>
          <w:szCs w:val="24"/>
        </w:rPr>
        <w:t xml:space="preserve">află în curs de desfăşurare (teodicee).</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numPr>
          <w:ilvl w:val="0"/>
          <w:numId w:val="5"/>
        </w:numPr>
        <w:pBdr/>
        <w:spacing/>
        <w:ind/>
        <w:rPr>
          <w:rFonts w:ascii="Gentium" w:hAnsi="Gentium" w:cs="Gentium"/>
          <w:sz w:val="24"/>
          <w:szCs w:val="24"/>
        </w:rPr>
      </w:pPr>
      <w:r>
        <w:rPr>
          <w:rFonts w:ascii="Gentium" w:hAnsi="Gentium" w:eastAsia="Gentium" w:cs="Gentium"/>
          <w:sz w:val="24"/>
          <w:szCs w:val="24"/>
        </w:rPr>
        <w:t xml:space="preserve">o concepţie globală despre istorie. </w:t>
      </w:r>
      <w:r>
        <w:rPr>
          <w:rFonts w:ascii="Gentium" w:hAnsi="Gentium" w:eastAsia="Gentium" w:cs="Gentium"/>
          <w:sz w:val="24"/>
          <w:szCs w:val="24"/>
        </w:rPr>
        <w:t xml:space="preserve">Apocalipticul are de a face cu o viziune globală despre manifestarea dreptăţii divine şi a planului divin, de la A la Z, de la alfa la omega. E</w:t>
      </w:r>
      <w:r>
        <w:rPr>
          <w:rFonts w:ascii="Gentium" w:hAnsi="Gentium" w:eastAsia="Gentium" w:cs="Gentium"/>
          <w:sz w:val="24"/>
          <w:szCs w:val="24"/>
        </w:rPr>
        <w:t xml:space="preserve">rnst</w:t>
      </w:r>
      <w:r>
        <w:rPr>
          <w:rFonts w:ascii="Gentium" w:hAnsi="Gentium" w:eastAsia="Gentium" w:cs="Gentium"/>
          <w:sz w:val="24"/>
          <w:szCs w:val="24"/>
        </w:rPr>
        <w:t xml:space="preserve"> Kaesemann: „Apocalipticul este matricea creştinismului”.</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5"/>
        </w:numPr>
        <w:pBdr/>
        <w:spacing/>
        <w:ind/>
        <w:rPr>
          <w:rFonts w:ascii="Gentium" w:hAnsi="Gentium" w:cs="Gentium"/>
          <w:sz w:val="24"/>
          <w:szCs w:val="24"/>
        </w:rPr>
      </w:pPr>
      <w:r>
        <w:rPr>
          <w:rFonts w:ascii="Gentium" w:hAnsi="Gentium" w:eastAsia="Gentium" w:cs="Gentium"/>
          <w:sz w:val="24"/>
          <w:szCs w:val="24"/>
        </w:rPr>
        <w:t xml:space="preserve">acest plan </w:t>
      </w:r>
      <w:r>
        <w:rPr>
          <w:rFonts w:ascii="Gentium" w:hAnsi="Gentium" w:eastAsia="Gentium" w:cs="Gentium"/>
          <w:sz w:val="24"/>
          <w:szCs w:val="24"/>
        </w:rPr>
        <w:t xml:space="preserve">divin se înţelege din VT şi NT că </w:t>
      </w:r>
      <w:r>
        <w:rPr>
          <w:rFonts w:ascii="Gentium" w:hAnsi="Gentium" w:eastAsia="Gentium" w:cs="Gentium"/>
          <w:sz w:val="24"/>
          <w:szCs w:val="24"/>
        </w:rPr>
        <w:t xml:space="preserve">se desfăşoară pe etape (Daniel 7, Apocalipsa 12-13, etc.).</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numPr>
          <w:ilvl w:val="0"/>
          <w:numId w:val="5"/>
        </w:numPr>
        <w:pBdr/>
        <w:spacing/>
        <w:ind/>
        <w:rPr>
          <w:rFonts w:ascii="Gentium" w:hAnsi="Gentium" w:cs="Gentium"/>
          <w:sz w:val="24"/>
          <w:szCs w:val="24"/>
        </w:rPr>
      </w:pPr>
      <w:r>
        <w:rPr>
          <w:rFonts w:ascii="Gentium" w:hAnsi="Gentium" w:eastAsia="Gentium" w:cs="Gentium"/>
          <w:sz w:val="24"/>
          <w:szCs w:val="24"/>
        </w:rPr>
        <w:t xml:space="preserve">acest plan se întâmplă în timp</w:t>
      </w:r>
      <w:r>
        <w:rPr>
          <w:rFonts w:ascii="Gentium" w:hAnsi="Gentium" w:eastAsia="Gentium" w:cs="Gentium"/>
          <w:sz w:val="24"/>
          <w:szCs w:val="24"/>
        </w:rPr>
        <w:t xml:space="preserve">,</w:t>
      </w:r>
      <w:r>
        <w:rPr>
          <w:rFonts w:ascii="Gentium" w:hAnsi="Gentium" w:eastAsia="Gentium" w:cs="Gentium"/>
          <w:sz w:val="24"/>
          <w:szCs w:val="24"/>
        </w:rPr>
        <w:t xml:space="preserve"> dar timpul este relativ </w:t>
      </w:r>
      <w:r>
        <w:rPr>
          <w:rFonts w:ascii="Gentium" w:hAnsi="Gentium" w:eastAsia="Gentium" w:cs="Gentium"/>
          <w:sz w:val="24"/>
          <w:szCs w:val="24"/>
        </w:rPr>
        <w:t xml:space="preserve">datorită interfeţei cu eternitatea </w:t>
      </w:r>
      <w:r>
        <w:rPr>
          <w:rFonts w:ascii="Gentium" w:hAnsi="Gentium" w:eastAsia="Gentium" w:cs="Gentium"/>
          <w:sz w:val="24"/>
          <w:szCs w:val="24"/>
        </w:rPr>
        <w:t xml:space="preserve">(1000 de ani ca o zi, o </w:t>
      </w:r>
      <w:r>
        <w:rPr>
          <w:rFonts w:ascii="Gentium" w:hAnsi="Gentium" w:eastAsia="Gentium" w:cs="Gentium"/>
          <w:sz w:val="24"/>
          <w:szCs w:val="24"/>
        </w:rPr>
        <w:t xml:space="preserve">zi ca o mie de ani;</w:t>
      </w:r>
      <w:r>
        <w:rPr>
          <w:rFonts w:ascii="Gentium" w:hAnsi="Gentium" w:eastAsia="Gentium" w:cs="Gentium"/>
          <w:sz w:val="24"/>
          <w:szCs w:val="24"/>
        </w:rPr>
        <w:t xml:space="preserve"> 2</w:t>
      </w:r>
      <w:r>
        <w:rPr>
          <w:rFonts w:ascii="Gentium" w:hAnsi="Gentium" w:eastAsia="Gentium" w:cs="Gentium"/>
          <w:sz w:val="24"/>
          <w:szCs w:val="24"/>
        </w:rPr>
        <w:t xml:space="preserve"> Petru </w:t>
      </w:r>
      <w:r>
        <w:rPr>
          <w:rFonts w:ascii="Gentium" w:hAnsi="Gentium" w:eastAsia="Gentium" w:cs="Gentium"/>
          <w:sz w:val="24"/>
          <w:szCs w:val="24"/>
        </w:rPr>
        <w:t xml:space="preserve">3.8)</w:t>
      </w:r>
      <w:r>
        <w:rPr>
          <w:rFonts w:ascii="Gentium" w:hAnsi="Gentium" w:eastAsia="Gentium" w:cs="Gentium"/>
          <w:sz w:val="24"/>
          <w:szCs w:val="24"/>
        </w:rPr>
        <w:t xml:space="preserve">. Percepţia timpului este schimbată.</w:t>
      </w:r>
      <w:r>
        <w:rPr>
          <w:rFonts w:ascii="Gentium" w:hAnsi="Gentium" w:eastAsia="Gentium" w:cs="Gentium"/>
          <w:sz w:val="24"/>
          <w:szCs w:val="24"/>
        </w:rPr>
        <w:t xml:space="preserve"> </w:t>
      </w:r>
      <w:r>
        <w:rPr>
          <w:rFonts w:ascii="Gentium" w:hAnsi="Gentium" w:eastAsia="Gentium" w:cs="Gentium"/>
          <w:sz w:val="24"/>
          <w:szCs w:val="24"/>
        </w:rPr>
        <w:t xml:space="preserve">Planuri ca pentru 1000 de ani, detaşare ca şi cum viaţa s-ar putea încheia azi.</w:t>
      </w:r>
      <w:r>
        <w:rPr>
          <w:rFonts w:ascii="Gentium" w:hAnsi="Gentium" w:eastAsia="Gentium" w:cs="Gentium"/>
          <w:sz w:val="24"/>
          <w:szCs w:val="24"/>
        </w:rPr>
        <w:t xml:space="preserve"> Cf. Planurile lui Petru cel mare, pentru Rusia.</w:t>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144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r>
      <w:bookmarkStart w:id="69" w:name="_Toc252991873"/>
      <w:r>
        <w:rPr>
          <w:rFonts w:ascii="Gentium" w:hAnsi="Gentium" w:eastAsia="Gentium" w:cs="Gentium"/>
          <w:sz w:val="24"/>
          <w:szCs w:val="24"/>
        </w:rPr>
        <w:t xml:space="preserve">Curs</w:t>
      </w:r>
      <w:r>
        <w:rPr>
          <w:rFonts w:ascii="Gentium" w:hAnsi="Gentium" w:eastAsia="Gentium" w:cs="Gentium"/>
          <w:sz w:val="24"/>
          <w:szCs w:val="24"/>
        </w:rPr>
        <w:t xml:space="preserve"> 1</w:t>
      </w:r>
      <w:r>
        <w:rPr>
          <w:rFonts w:ascii="Gentium" w:hAnsi="Gentium" w:eastAsia="Gentium" w:cs="Gentium"/>
          <w:sz w:val="24"/>
          <w:szCs w:val="24"/>
          <w:lang w:val="en-US"/>
        </w:rPr>
        <w:t xml:space="preserve">3</w:t>
      </w:r>
      <w:r>
        <w:rPr>
          <w:rFonts w:ascii="Gentium" w:hAnsi="Gentium" w:eastAsia="Gentium" w:cs="Gentium"/>
          <w:sz w:val="24"/>
          <w:szCs w:val="24"/>
        </w:rPr>
        <w:t xml:space="preserve">. Teologie culturală</w:t>
      </w:r>
      <w:r>
        <w:rPr>
          <w:rFonts w:ascii="Gentium" w:hAnsi="Gentium" w:eastAsia="Gentium" w:cs="Gentium"/>
          <w:sz w:val="24"/>
          <w:szCs w:val="24"/>
        </w:rPr>
        <w:t xml:space="preserve"> şi </w:t>
      </w:r>
      <w:r>
        <w:rPr>
          <w:rFonts w:ascii="Gentium" w:hAnsi="Gentium" w:eastAsia="Gentium" w:cs="Gentium"/>
          <w:sz w:val="24"/>
          <w:szCs w:val="24"/>
        </w:rPr>
        <w:t xml:space="preserve">eschatolog</w:t>
      </w:r>
      <w:r>
        <w:rPr>
          <w:rFonts w:ascii="Gentium" w:hAnsi="Gentium" w:eastAsia="Gentium" w:cs="Gentium"/>
          <w:sz w:val="24"/>
          <w:szCs w:val="24"/>
        </w:rPr>
        <w:t xml:space="preserve">ia NT</w:t>
      </w:r>
      <w:bookmarkEnd w:id="69"/>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cadrul gândirii apocaliptice, o parte specială este dată de tabloul final al istoriei, adică de eschatologie. Termenul eschatologie vine de la</w:t>
      </w:r>
      <w:r>
        <w:rPr>
          <w:rFonts w:ascii="Gentium" w:hAnsi="Gentium" w:eastAsia="Gentium" w:cs="Gentium"/>
          <w:sz w:val="24"/>
          <w:szCs w:val="24"/>
        </w:rPr>
        <w:t xml:space="preserve"> cuvântul grecesc</w:t>
      </w:r>
      <w:r>
        <w:rPr>
          <w:rFonts w:ascii="Gentium" w:hAnsi="Gentium" w:eastAsia="Gentium" w:cs="Gentium"/>
          <w:sz w:val="24"/>
          <w:szCs w:val="24"/>
        </w:rPr>
        <w:t xml:space="preserve"> </w:t>
      </w:r>
      <w:r>
        <w:rPr>
          <w:rFonts w:ascii="Gentium" w:hAnsi="Gentium" w:eastAsia="Gentium" w:cs="Gentium"/>
          <w:i/>
          <w:iCs/>
          <w:sz w:val="24"/>
          <w:szCs w:val="24"/>
        </w:rPr>
        <w:t xml:space="preserve">eschatos</w:t>
      </w:r>
      <w:r>
        <w:rPr>
          <w:rFonts w:ascii="Gentium" w:hAnsi="Gentium" w:eastAsia="Gentium" w:cs="Gentium"/>
          <w:sz w:val="24"/>
          <w:szCs w:val="24"/>
        </w:rPr>
        <w:t xml:space="preserve"> – ultim, final.</w:t>
      </w:r>
      <w:r>
        <w:rPr>
          <w:rFonts w:ascii="Gentium" w:hAnsi="Gentium" w:eastAsia="Gentium" w:cs="Gentium"/>
          <w:sz w:val="24"/>
          <w:szCs w:val="24"/>
        </w:rPr>
        <w:t xml:space="preserve"> Într-o bună tradiţie a dezbaterilor postmoderne, s-ar putea discuta de viitorul politicii (eschatologia politicii)</w:t>
      </w:r>
      <w:r>
        <w:rPr>
          <w:rFonts w:ascii="Gentium" w:hAnsi="Gentium" w:eastAsia="Gentium" w:cs="Gentium"/>
          <w:sz w:val="24"/>
          <w:szCs w:val="24"/>
        </w:rPr>
        <w:t xml:space="preserve">,</w:t>
      </w:r>
      <w:r>
        <w:rPr>
          <w:rFonts w:ascii="Gentium" w:hAnsi="Gentium" w:eastAsia="Gentium" w:cs="Gentium"/>
          <w:sz w:val="24"/>
          <w:szCs w:val="24"/>
        </w:rPr>
        <w:t xml:space="preserve"> cât şi de </w:t>
      </w:r>
      <w:r>
        <w:rPr>
          <w:rFonts w:ascii="Gentium" w:hAnsi="Gentium" w:eastAsia="Gentium" w:cs="Gentium"/>
          <w:sz w:val="24"/>
          <w:szCs w:val="24"/>
        </w:rPr>
        <w:t xml:space="preserve">politica eschatologiei (o perspectivă teologică evidentă).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Valoarea politică a eschaton-ului, a ulti</w:t>
      </w:r>
      <w:r>
        <w:rPr>
          <w:rFonts w:ascii="Gentium" w:hAnsi="Gentium" w:eastAsia="Gentium" w:cs="Gentium"/>
          <w:sz w:val="24"/>
          <w:szCs w:val="24"/>
        </w:rPr>
        <w:t xml:space="preserve">mei etape din istoria omenirii derivă din </w:t>
      </w:r>
      <w:r>
        <w:rPr>
          <w:rFonts w:ascii="Gentium" w:hAnsi="Gentium" w:eastAsia="Gentium" w:cs="Gentium"/>
          <w:sz w:val="24"/>
          <w:szCs w:val="24"/>
        </w:rPr>
        <w:t xml:space="preserve">faptul că ea polarizează atenţia civilizaţiilor şi </w:t>
      </w:r>
      <w:r>
        <w:rPr>
          <w:rFonts w:ascii="Gentium" w:hAnsi="Gentium" w:eastAsia="Gentium" w:cs="Gentium"/>
          <w:sz w:val="24"/>
          <w:szCs w:val="24"/>
        </w:rPr>
        <w:t xml:space="preserve">oferă un tablou raţional, global, convergent al diverselor linii politice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Eschatologia </w:t>
      </w:r>
      <w:r>
        <w:rPr>
          <w:rFonts w:ascii="Gentium" w:hAnsi="Gentium" w:eastAsia="Gentium" w:cs="Gentium"/>
          <w:sz w:val="24"/>
          <w:szCs w:val="24"/>
        </w:rPr>
        <w:t xml:space="preserve">NT</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NT are mai multe tipuri de abordări eschatologic</w:t>
      </w:r>
      <w:r>
        <w:rPr>
          <w:rFonts w:ascii="Gentium" w:hAnsi="Gentium" w:eastAsia="Gentium" w:cs="Gentium"/>
          <w:sz w:val="24"/>
          <w:szCs w:val="24"/>
        </w:rPr>
        <w:t xml:space="preserve">e. Pe deoparte există descrierile sfârşitului din evanghelii, făcute de Isus (Marcu 13-14; Matei 23-25). Isus pare să vorbească despre două planuri istorice: evenimente legate de pedepsirea necredinţei evreilor, după moartea şi învierea sa, şi evenimente f</w:t>
      </w:r>
      <w:r>
        <w:rPr>
          <w:rFonts w:ascii="Gentium" w:hAnsi="Gentium" w:eastAsia="Gentium" w:cs="Gentium"/>
          <w:sz w:val="24"/>
          <w:szCs w:val="24"/>
        </w:rPr>
        <w:t xml:space="preserve">inale, legate de venirea a doua Fiului Omului, adică a sa. Gândirea paulină (Romani 8-11; 1-2 Tesaloniceni) pare să urmeze schema acestor prezentări ale lui Isus, cu unele precizări în plus. Şi Ioan urmăreşte o desfăşurare asemănătoare în epistola 1 Ioan. </w:t>
      </w:r>
      <w:r>
        <w:rPr>
          <w:rFonts w:ascii="Gentium" w:hAnsi="Gentium" w:eastAsia="Gentium" w:cs="Gentium"/>
          <w:sz w:val="24"/>
          <w:szCs w:val="24"/>
        </w:rPr>
        <w:t xml:space="preserve">Există </w:t>
      </w:r>
      <w:r>
        <w:rPr>
          <w:rFonts w:ascii="Gentium" w:hAnsi="Gentium" w:eastAsia="Gentium" w:cs="Gentium"/>
          <w:sz w:val="24"/>
          <w:szCs w:val="24"/>
        </w:rPr>
        <w:t xml:space="preserve">însă şi </w:t>
      </w:r>
      <w:r>
        <w:rPr>
          <w:rFonts w:ascii="Gentium" w:hAnsi="Gentium" w:eastAsia="Gentium" w:cs="Gentium"/>
          <w:sz w:val="24"/>
          <w:szCs w:val="24"/>
        </w:rPr>
        <w:t xml:space="preserve">câteva deosebiri</w:t>
      </w:r>
      <w:r>
        <w:rPr>
          <w:rFonts w:ascii="Gentium" w:hAnsi="Gentium" w:eastAsia="Gentium" w:cs="Gentium"/>
          <w:sz w:val="24"/>
          <w:szCs w:val="24"/>
        </w:rPr>
        <w:t xml:space="preserve"> clare</w:t>
      </w:r>
      <w:r>
        <w:rPr>
          <w:rFonts w:ascii="Gentium" w:hAnsi="Gentium" w:eastAsia="Gentium" w:cs="Gentium"/>
          <w:sz w:val="24"/>
          <w:szCs w:val="24"/>
        </w:rPr>
        <w:t xml:space="preserve"> între gândirea paulină şi cea ioanină, în ce priveşte eschatologia. </w:t>
      </w:r>
      <w:r>
        <w:rPr>
          <w:rFonts w:ascii="Gentium" w:hAnsi="Gentium" w:eastAsia="Gentium" w:cs="Gentium"/>
          <w:sz w:val="24"/>
          <w:szCs w:val="24"/>
        </w:rPr>
        <w:t xml:space="preserve">Pavel (şi evangheliile si</w:t>
      </w:r>
      <w:r>
        <w:rPr>
          <w:rFonts w:ascii="Gentium" w:hAnsi="Gentium" w:eastAsia="Gentium" w:cs="Gentium"/>
          <w:sz w:val="24"/>
          <w:szCs w:val="24"/>
        </w:rPr>
        <w:t xml:space="preserve">noptice) se concentrează pe evenimentul revenirii lui Isus şi pe apariţia şi reacţia lui Antichrist faţă de acest eveniment, precum şi pe transformările (schimbările) care apar atunci (înşelarea neamurilor, învierea credincioşilor, judecata finală, etc.). </w:t>
      </w:r>
      <w:r>
        <w:rPr>
          <w:rFonts w:ascii="Gentium" w:hAnsi="Gentium" w:eastAsia="Gentium" w:cs="Gentium"/>
          <w:sz w:val="24"/>
          <w:szCs w:val="24"/>
        </w:rPr>
        <w:t xml:space="preserve"> </w:t>
      </w:r>
      <w:r>
        <w:rPr>
          <w:rFonts w:ascii="Gentium" w:hAnsi="Gentium" w:eastAsia="Gentium" w:cs="Gentium"/>
          <w:sz w:val="24"/>
          <w:szCs w:val="24"/>
        </w:rPr>
        <w:t xml:space="preserve">Apocalipsa lui Ioan se concentrează pe o judecată ma</w:t>
      </w:r>
      <w:r>
        <w:rPr>
          <w:rFonts w:ascii="Gentium" w:hAnsi="Gentium" w:eastAsia="Gentium" w:cs="Gentium"/>
          <w:sz w:val="24"/>
          <w:szCs w:val="24"/>
        </w:rPr>
        <w:t xml:space="preserve">i lungă, prin contrast, pe lucrarea de ansamblu a dreptăţii divine care răsplăteşte în final pe cei drepţi şi pedepseşte pe cei nedrepţi aşa cum se cuvine. Apocalipsa se pretează unei interpretări dispensaţionaliste (vede istoria împărţită în etape majore)</w:t>
      </w:r>
      <w:r>
        <w:rPr>
          <w:rFonts w:ascii="Gentium" w:hAnsi="Gentium" w:eastAsia="Gentium" w:cs="Gentium"/>
          <w:sz w:val="24"/>
          <w:szCs w:val="24"/>
        </w:rPr>
        <w:t xml:space="preserve"> şi până la pedepsirea finală a sistemului politic mondial (simbolizat prin Babilon), </w:t>
      </w:r>
      <w:r>
        <w:rPr>
          <w:rFonts w:ascii="Gentium" w:hAnsi="Gentium" w:eastAsia="Gentium" w:cs="Gentium"/>
          <w:sz w:val="24"/>
          <w:szCs w:val="24"/>
        </w:rPr>
        <w:t xml:space="preserve">ia in considerare numeroase tipuri de judecată şi pedeaps</w:t>
      </w:r>
      <w:r>
        <w:rPr>
          <w:rFonts w:ascii="Gentium" w:hAnsi="Gentium" w:eastAsia="Gentium" w:cs="Gentium"/>
          <w:sz w:val="24"/>
          <w:szCs w:val="24"/>
        </w:rPr>
        <w:t xml:space="preserve">ă care vin asupra omenirii (plăgi, dezastre ecologice, războaie, lipsuri, necazuri din partea oştilor demonice, etc.). În acelaşi timp, tot Apocalipsa este cea care priveşte dincolo de sfârşitul istoriei, la noul început al cerului nou şi al pământului nou</w:t>
      </w:r>
      <w:r>
        <w:rPr>
          <w:rFonts w:ascii="Gentium" w:hAnsi="Gentium" w:eastAsia="Gentium" w:cs="Gentium"/>
          <w:sz w:val="24"/>
          <w:szCs w:val="24"/>
        </w:rPr>
        <w:t xml:space="preserve">, la Ierusalimul ceresc, la împărăţia eternă şi dreaptă a lui Dumnezeu.</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Concepte</w:t>
      </w:r>
      <w:r>
        <w:rPr>
          <w:rFonts w:ascii="Gentium" w:hAnsi="Gentium" w:eastAsia="Gentium" w:cs="Gentium"/>
          <w:sz w:val="24"/>
          <w:szCs w:val="24"/>
        </w:rPr>
        <w:t xml:space="preserve"> cheie ale viz</w:t>
      </w:r>
      <w:r>
        <w:rPr>
          <w:rFonts w:ascii="Gentium" w:hAnsi="Gentium" w:eastAsia="Gentium" w:cs="Gentium"/>
          <w:sz w:val="24"/>
          <w:szCs w:val="24"/>
        </w:rPr>
        <w:t xml:space="preserve">iunii NT despre acest timp:</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Succesiune de regimuri şi sisteme politice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Tendinţe de </w:t>
      </w:r>
      <w:r>
        <w:rPr>
          <w:rFonts w:ascii="Gentium" w:hAnsi="Gentium" w:eastAsia="Gentium" w:cs="Gentium"/>
          <w:sz w:val="24"/>
          <w:szCs w:val="24"/>
        </w:rPr>
        <w:t xml:space="preserve">globalizare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Tendinţe de </w:t>
      </w:r>
      <w:r>
        <w:rPr>
          <w:rFonts w:ascii="Gentium" w:hAnsi="Gentium" w:eastAsia="Gentium" w:cs="Gentium"/>
          <w:sz w:val="24"/>
          <w:szCs w:val="24"/>
        </w:rPr>
        <w:t xml:space="preserve">unificare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Manifestări conflictuale</w:t>
      </w:r>
      <w:r>
        <w:rPr>
          <w:rFonts w:ascii="Gentium" w:hAnsi="Gentium" w:eastAsia="Gentium" w:cs="Gentium"/>
          <w:sz w:val="24"/>
          <w:szCs w:val="24"/>
        </w:rPr>
        <w:t xml:space="preserve"> (războaie, terorism)</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Dezechilibru ecologic</w:t>
      </w:r>
      <w:r>
        <w:rPr>
          <w:rFonts w:ascii="Gentium" w:hAnsi="Gentium" w:eastAsia="Gentium" w:cs="Gentium"/>
          <w:sz w:val="24"/>
          <w:szCs w:val="24"/>
        </w:rPr>
        <w:t xml:space="preserve"> (</w:t>
      </w:r>
      <w:r>
        <w:rPr>
          <w:rFonts w:ascii="Gentium" w:hAnsi="Gentium" w:eastAsia="Gentium" w:cs="Gentium"/>
          <w:sz w:val="24"/>
          <w:szCs w:val="24"/>
        </w:rPr>
        <w:t xml:space="preserve">calamităţi)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cf. Peter C. Phan, ‘Pope John Paul II and the Ecological Crisis’, </w:t>
      </w:r>
      <w:r>
        <w:rPr>
          <w:rFonts w:ascii="Gentium" w:hAnsi="Gentium" w:eastAsia="Gentium" w:cs="Gentium"/>
          <w:i/>
          <w:iCs/>
          <w:sz w:val="24"/>
          <w:szCs w:val="24"/>
        </w:rPr>
        <w:t xml:space="preserve">Irish Theological Quarterly </w:t>
      </w:r>
      <w:r>
        <w:rPr>
          <w:rFonts w:ascii="Gentium" w:hAnsi="Gentium" w:eastAsia="Gentium" w:cs="Gentium"/>
          <w:sz w:val="24"/>
          <w:szCs w:val="24"/>
        </w:rPr>
        <w:t xml:space="preserve"> 60/1 (1994), 59-69; ‘Eschatology and Ecology: The Environment in the End-Time’, </w:t>
      </w:r>
      <w:r>
        <w:rPr>
          <w:rFonts w:ascii="Gentium" w:hAnsi="Gentium" w:eastAsia="Gentium" w:cs="Gentium"/>
          <w:i/>
          <w:iCs/>
          <w:sz w:val="24"/>
          <w:szCs w:val="24"/>
        </w:rPr>
        <w:t xml:space="preserve">Dialogue and Alliance </w:t>
      </w:r>
      <w:r>
        <w:rPr>
          <w:rFonts w:ascii="Gentium" w:hAnsi="Gentium" w:eastAsia="Gentium" w:cs="Gentium"/>
          <w:sz w:val="24"/>
          <w:szCs w:val="24"/>
        </w:rPr>
        <w:t xml:space="preserve">9/2 (1995), 99-115.</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Mesianism şi anti-mesianism; hristic şi anti-hristic</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Un teolog romano-catolic extrem de productiv – dar şi controversat în interiorul Bisericii RC, </w:t>
      </w:r>
      <w:r>
        <w:rPr>
          <w:rFonts w:ascii="Gentium" w:hAnsi="Gentium" w:eastAsia="Gentium" w:cs="Gentium"/>
          <w:sz w:val="24"/>
          <w:szCs w:val="24"/>
        </w:rPr>
        <w:t xml:space="preserve">Hans Küng</w:t>
      </w:r>
      <w:r>
        <w:rPr>
          <w:rFonts w:ascii="Gentium" w:hAnsi="Gentium" w:eastAsia="Gentium" w:cs="Gentium"/>
          <w:sz w:val="24"/>
          <w:szCs w:val="24"/>
          <w:lang w:bidi="he-IL"/>
        </w:rPr>
        <w:t xml:space="preserve"> a subliniat </w:t>
      </w:r>
      <w:r>
        <w:rPr>
          <w:rFonts w:ascii="Gentium" w:hAnsi="Gentium" w:eastAsia="Gentium" w:cs="Gentium"/>
          <w:sz w:val="24"/>
          <w:szCs w:val="24"/>
          <w:lang w:bidi="he-IL"/>
        </w:rPr>
        <w:t xml:space="preserve">în mod deosebit </w:t>
      </w:r>
      <w:r>
        <w:rPr>
          <w:rFonts w:ascii="Gentium" w:hAnsi="Gentium" w:eastAsia="Gentium" w:cs="Gentium"/>
          <w:sz w:val="24"/>
          <w:szCs w:val="24"/>
          <w:lang w:bidi="he-IL"/>
        </w:rPr>
        <w:t xml:space="preserve">relevanţa teologiei şi eschatologiei pentru societate</w:t>
      </w:r>
      <w:r>
        <w:rPr>
          <w:rFonts w:ascii="Gentium" w:hAnsi="Gentium" w:eastAsia="Gentium" w:cs="Gentium"/>
          <w:sz w:val="24"/>
          <w:szCs w:val="24"/>
          <w:lang w:bidi="he-IL"/>
        </w:rPr>
        <w:t xml:space="preserve">a modernă, cu diversele ei pro</w:t>
      </w:r>
      <w:r>
        <w:rPr>
          <w:rFonts w:ascii="Gentium" w:hAnsi="Gentium" w:eastAsia="Gentium" w:cs="Gentium"/>
          <w:sz w:val="24"/>
          <w:szCs w:val="24"/>
          <w:lang w:bidi="he-IL"/>
        </w:rPr>
        <w:t xml:space="preserve">vocări, c</w:t>
      </w:r>
      <w:r>
        <w:rPr>
          <w:rFonts w:ascii="Gentium" w:hAnsi="Gentium" w:eastAsia="Gentium" w:cs="Gentium"/>
          <w:sz w:val="24"/>
          <w:szCs w:val="24"/>
          <w:lang w:bidi="he-IL"/>
        </w:rPr>
        <w:t xml:space="preserve">f. </w:t>
      </w:r>
      <w:r>
        <w:rPr>
          <w:rFonts w:ascii="Gentium" w:hAnsi="Gentium" w:eastAsia="Gentium" w:cs="Gentium"/>
          <w:i/>
          <w:iCs/>
          <w:sz w:val="24"/>
          <w:szCs w:val="24"/>
          <w:lang w:bidi="he-IL"/>
        </w:rPr>
        <w:t xml:space="preserve">Eternal Life? Life after Death as a Medical, Philosophical and Theological Problem </w:t>
      </w:r>
      <w:r>
        <w:rPr>
          <w:rFonts w:ascii="Gentium" w:hAnsi="Gentium" w:eastAsia="Gentium" w:cs="Gentium"/>
          <w:sz w:val="24"/>
          <w:szCs w:val="24"/>
          <w:lang w:bidi="he-IL"/>
        </w:rPr>
        <w:t xml:space="preserve">(Edward Quinn, Garden City, NY:</w:t>
      </w:r>
      <w:r>
        <w:rPr>
          <w:rFonts w:ascii="Gentium" w:hAnsi="Gentium" w:eastAsia="Gentium" w:cs="Gentium"/>
          <w:sz w:val="24"/>
          <w:szCs w:val="24"/>
          <w:lang w:bidi="he-IL"/>
        </w:rPr>
        <w:t xml:space="preserve"> Doubleday, 1984).</w:t>
      </w:r>
      <w:r>
        <w:rPr>
          <w:rFonts w:ascii="Gentium" w:hAnsi="Gentium" w:eastAsia="Gentium" w:cs="Gentium"/>
          <w:sz w:val="24"/>
          <w:szCs w:val="24"/>
          <w:lang w:bidi="he-IL"/>
        </w:rPr>
        <w:t xml:space="preserve"> </w:t>
      </w:r>
      <w:r>
        <w:rPr>
          <w:rFonts w:ascii="Gentium" w:hAnsi="Gentium" w:eastAsia="Gentium" w:cs="Gentium"/>
          <w:sz w:val="24"/>
          <w:szCs w:val="24"/>
          <w:lang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Un al exponent german al teologiei politice, </w:t>
      </w:r>
      <w:r>
        <w:rPr>
          <w:rFonts w:ascii="Gentium" w:hAnsi="Gentium" w:eastAsia="Gentium" w:cs="Gentium"/>
          <w:sz w:val="24"/>
          <w:szCs w:val="24"/>
        </w:rPr>
        <w:t xml:space="preserve">J.B. Metz </w:t>
      </w:r>
      <w:r>
        <w:rPr>
          <w:rFonts w:ascii="Gentium" w:hAnsi="Gentium" w:eastAsia="Gentium" w:cs="Gentium"/>
          <w:sz w:val="24"/>
          <w:szCs w:val="24"/>
        </w:rPr>
        <w:t xml:space="preserve">a afirmat</w:t>
      </w:r>
      <w:r>
        <w:rPr>
          <w:rFonts w:ascii="Gentium" w:hAnsi="Gentium" w:eastAsia="Gentium" w:cs="Gentium"/>
          <w:sz w:val="24"/>
          <w:szCs w:val="24"/>
        </w:rPr>
        <w:t xml:space="preserve">,</w:t>
      </w:r>
      <w:r>
        <w:rPr>
          <w:rFonts w:ascii="Gentium" w:hAnsi="Gentium" w:eastAsia="Gentium" w:cs="Gentium"/>
          <w:sz w:val="24"/>
          <w:szCs w:val="24"/>
        </w:rPr>
        <w:t xml:space="preserve"> ca şi </w:t>
      </w:r>
      <w:r>
        <w:rPr>
          <w:rFonts w:ascii="Gentium" w:hAnsi="Gentium" w:eastAsia="Gentium" w:cs="Gentium"/>
          <w:sz w:val="24"/>
          <w:szCs w:val="24"/>
        </w:rPr>
        <w:t xml:space="preserve">E. </w:t>
      </w:r>
      <w:r>
        <w:rPr>
          <w:rFonts w:ascii="Gentium" w:hAnsi="Gentium" w:eastAsia="Gentium" w:cs="Gentium"/>
          <w:sz w:val="24"/>
          <w:szCs w:val="24"/>
        </w:rPr>
        <w:t xml:space="preserve">Kaesema</w:t>
      </w:r>
      <w:r>
        <w:rPr>
          <w:rFonts w:ascii="Gentium" w:hAnsi="Gentium" w:eastAsia="Gentium" w:cs="Gentium"/>
          <w:sz w:val="24"/>
          <w:szCs w:val="24"/>
        </w:rPr>
        <w:t xml:space="preserve">nn, că t</w:t>
      </w:r>
      <w:r>
        <w:rPr>
          <w:rFonts w:ascii="Gentium" w:hAnsi="Gentium" w:eastAsia="Gentium" w:cs="Gentium"/>
          <w:sz w:val="24"/>
          <w:szCs w:val="24"/>
        </w:rPr>
        <w:t xml:space="preserve">eologia creştină este în mod esenţial eschatologică, adică apocaliptică. </w:t>
      </w:r>
      <w:r>
        <w:rPr>
          <w:rFonts w:ascii="Gentium" w:hAnsi="Gentium" w:eastAsia="Gentium" w:cs="Gentium"/>
          <w:sz w:val="24"/>
          <w:szCs w:val="24"/>
        </w:rPr>
        <w:t xml:space="preserve">De aici, s</w:t>
      </w:r>
      <w:r>
        <w:rPr>
          <w:rFonts w:ascii="Gentium" w:hAnsi="Gentium" w:eastAsia="Gentium" w:cs="Gentium"/>
          <w:sz w:val="24"/>
          <w:szCs w:val="24"/>
        </w:rPr>
        <w:t xml:space="preserve">peranţa creştină are de a face cu aşteptarea eschaton-ului, </w:t>
      </w:r>
      <w:r>
        <w:rPr>
          <w:rFonts w:ascii="Gentium" w:hAnsi="Gentium" w:eastAsia="Gentium" w:cs="Gentium"/>
          <w:sz w:val="24"/>
          <w:szCs w:val="24"/>
        </w:rPr>
        <w:t xml:space="preserve">împărăţia lui Dumnezeu fiind nu o utopie a progresului uman, ci darul lui Dumnezeu pentru o omenire care se întoarce spre el, solidară cu victimile nedreptăţilor sociale.</w:t>
      </w:r>
      <w:r>
        <w:rPr>
          <w:rFonts w:ascii="Gentium" w:hAnsi="Gentium" w:eastAsia="Gentium" w:cs="Gentium"/>
          <w:sz w:val="24"/>
          <w:szCs w:val="24"/>
        </w:rPr>
        <w:t xml:space="preserve"> Cf. Metz, </w:t>
      </w:r>
      <w:r>
        <w:rPr>
          <w:rFonts w:ascii="Gentium" w:hAnsi="Gentium" w:eastAsia="Gentium" w:cs="Gentium"/>
          <w:i/>
          <w:iCs/>
          <w:sz w:val="24"/>
          <w:szCs w:val="24"/>
        </w:rPr>
        <w:t xml:space="preserve">Theology of the World, </w:t>
      </w:r>
      <w:r>
        <w:rPr>
          <w:rFonts w:ascii="Gentium" w:hAnsi="Gentium" w:eastAsia="Gentium" w:cs="Gentium"/>
          <w:sz w:val="24"/>
          <w:szCs w:val="24"/>
        </w:rPr>
        <w:t xml:space="preserve"> transl. W. Glen-Doeple (NY: Herder and Herder, 1969); </w:t>
      </w:r>
      <w:r>
        <w:rPr>
          <w:rFonts w:ascii="Gentium" w:hAnsi="Gentium" w:eastAsia="Gentium" w:cs="Gentium"/>
          <w:i/>
          <w:iCs/>
          <w:sz w:val="24"/>
          <w:szCs w:val="24"/>
        </w:rPr>
        <w:t xml:space="preserve">Faith in History and Society, </w:t>
      </w:r>
      <w:r>
        <w:rPr>
          <w:rFonts w:ascii="Gentium" w:hAnsi="Gentium" w:eastAsia="Gentium" w:cs="Gentium"/>
          <w:sz w:val="24"/>
          <w:szCs w:val="24"/>
        </w:rPr>
        <w:t xml:space="preserve">trans. David Smith (NY: Seabury, 1980); </w:t>
      </w:r>
      <w:r>
        <w:rPr>
          <w:rFonts w:ascii="Gentium" w:hAnsi="Gentium" w:eastAsia="Gentium" w:cs="Gentium"/>
          <w:i/>
          <w:iCs/>
          <w:sz w:val="24"/>
          <w:szCs w:val="24"/>
        </w:rPr>
        <w:t xml:space="preserve">The Emergent Church: The Future of Christianity in a Postbourgeois World</w:t>
      </w:r>
      <w:r>
        <w:rPr>
          <w:rFonts w:ascii="Gentium" w:hAnsi="Gentium" w:eastAsia="Gentium" w:cs="Gentium"/>
          <w:sz w:val="24"/>
          <w:szCs w:val="24"/>
        </w:rPr>
        <w:t xml:space="preserve">, transl. Peter Mann (New York: Crossroad, 1981).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Între teologii din mişcarea Liberation Theology pot fi amintiţi Gustavo Gutie</w:t>
      </w:r>
      <w:r>
        <w:rPr>
          <w:rFonts w:ascii="Gentium" w:hAnsi="Gentium" w:eastAsia="Gentium" w:cs="Gentium"/>
          <w:sz w:val="24"/>
          <w:szCs w:val="24"/>
        </w:rPr>
        <w:t xml:space="preserve">r</w:t>
      </w:r>
      <w:r>
        <w:rPr>
          <w:rFonts w:ascii="Gentium" w:hAnsi="Gentium" w:eastAsia="Gentium" w:cs="Gentium"/>
          <w:sz w:val="24"/>
          <w:szCs w:val="24"/>
        </w:rPr>
        <w:t xml:space="preserve">rez </w:t>
      </w:r>
      <w:r>
        <w:rPr>
          <w:rFonts w:ascii="Gentium" w:hAnsi="Gentium" w:eastAsia="Gentium" w:cs="Gentium"/>
          <w:sz w:val="24"/>
          <w:szCs w:val="24"/>
        </w:rPr>
        <w:t xml:space="preserve">şi Jon Sobrino.</w:t>
      </w:r>
      <w:r>
        <w:rPr>
          <w:rFonts w:ascii="Gentium" w:hAnsi="Gentium" w:eastAsia="Gentium" w:cs="Gentium"/>
          <w:sz w:val="24"/>
          <w:szCs w:val="24"/>
        </w:rPr>
        <w:t xml:space="preserve"> Cel dintâi vedea în eschatologie nu un refugiu, ci o cale de sesizare şi mai profundă a imperativelor sociale şi politice ale societăţi</w:t>
      </w:r>
      <w:r>
        <w:rPr>
          <w:rFonts w:ascii="Gentium" w:hAnsi="Gentium" w:eastAsia="Gentium" w:cs="Gentium"/>
          <w:sz w:val="24"/>
          <w:szCs w:val="24"/>
        </w:rPr>
        <w:t xml:space="preserve">i (Gutier</w:t>
      </w:r>
      <w:r>
        <w:rPr>
          <w:rFonts w:ascii="Gentium" w:hAnsi="Gentium" w:eastAsia="Gentium" w:cs="Gentium"/>
          <w:sz w:val="24"/>
          <w:szCs w:val="24"/>
        </w:rPr>
        <w:t xml:space="preserve">r</w:t>
      </w:r>
      <w:r>
        <w:rPr>
          <w:rFonts w:ascii="Gentium" w:hAnsi="Gentium" w:eastAsia="Gentium" w:cs="Gentium"/>
          <w:sz w:val="24"/>
          <w:szCs w:val="24"/>
        </w:rPr>
        <w:t xml:space="preserve">ez, </w:t>
      </w:r>
      <w:r>
        <w:rPr>
          <w:rFonts w:ascii="Gentium" w:hAnsi="Gentium" w:eastAsia="Gentium" w:cs="Gentium"/>
          <w:i/>
          <w:iCs/>
          <w:sz w:val="24"/>
          <w:szCs w:val="24"/>
        </w:rPr>
        <w:t xml:space="preserve">A Theology of Liberation</w:t>
      </w:r>
      <w:r>
        <w:rPr>
          <w:rFonts w:ascii="Gentium" w:hAnsi="Gentium" w:eastAsia="Gentium" w:cs="Gentium"/>
          <w:sz w:val="24"/>
          <w:szCs w:val="24"/>
        </w:rPr>
        <w:t xml:space="preserve">, transl. Sister Caridad Inda şi John Eagleson, Maryknoll, NY: Orbis, 1988), 122).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Eschatologia a captivat interesu</w:t>
      </w:r>
      <w:r>
        <w:rPr>
          <w:rFonts w:ascii="Gentium" w:hAnsi="Gentium" w:eastAsia="Gentium" w:cs="Gentium"/>
          <w:sz w:val="24"/>
          <w:szCs w:val="24"/>
        </w:rPr>
        <w:t xml:space="preserve">l teologilor şi p</w:t>
      </w:r>
      <w:r>
        <w:rPr>
          <w:rFonts w:ascii="Gentium" w:hAnsi="Gentium" w:eastAsia="Gentium" w:cs="Gentium"/>
          <w:sz w:val="24"/>
          <w:szCs w:val="24"/>
        </w:rPr>
        <w:t xml:space="preserve">rin perspectivele ştiinţifice pe care le deschide,</w:t>
      </w:r>
      <w:r>
        <w:rPr>
          <w:rFonts w:ascii="Gentium" w:hAnsi="Gentium" w:eastAsia="Gentium" w:cs="Gentium"/>
          <w:sz w:val="24"/>
          <w:szCs w:val="24"/>
        </w:rPr>
        <w:t xml:space="preserve"> cf.</w:t>
      </w:r>
      <w:r>
        <w:rPr>
          <w:rFonts w:ascii="Gentium" w:hAnsi="Gentium" w:eastAsia="Gentium" w:cs="Gentium"/>
          <w:sz w:val="24"/>
          <w:szCs w:val="24"/>
        </w:rPr>
        <w:t xml:space="preserve"> </w:t>
      </w:r>
      <w:r>
        <w:rPr>
          <w:rFonts w:ascii="Gentium" w:hAnsi="Gentium" w:eastAsia="Gentium" w:cs="Gentium"/>
          <w:sz w:val="24"/>
          <w:szCs w:val="24"/>
        </w:rPr>
        <w:t xml:space="preserve">Teilhard de Chardin, Yves Congar</w:t>
      </w:r>
      <w:r>
        <w:rPr>
          <w:rFonts w:ascii="Gentium" w:hAnsi="Gentium" w:eastAsia="Gentium" w:cs="Gentium"/>
          <w:sz w:val="24"/>
          <w:szCs w:val="24"/>
        </w:rPr>
        <w:t xml:space="preserve"> (fizică, biologie, antropologie)</w:t>
      </w:r>
      <w:r>
        <w:rPr>
          <w:rFonts w:ascii="Gentium" w:hAnsi="Gentium" w:eastAsia="Gentium" w:cs="Gentium"/>
          <w:sz w:val="24"/>
          <w:szCs w:val="24"/>
        </w:rPr>
        <w:t xml:space="preserve">.</w:t>
      </w:r>
      <w:r>
        <w:rPr>
          <w:rFonts w:ascii="Gentium" w:hAnsi="Gentium" w:eastAsia="Gentium" w:cs="Gentium"/>
          <w:sz w:val="24"/>
          <w:szCs w:val="24"/>
        </w:rPr>
        <w:t xml:space="preserve"> Cf. şi lucrările teologilor J.C. Polkinghorne,</w:t>
      </w:r>
      <w:r>
        <w:rPr>
          <w:rFonts w:ascii="Gentium" w:hAnsi="Gentium" w:eastAsia="Gentium" w:cs="Gentium"/>
          <w:sz w:val="24"/>
          <w:szCs w:val="24"/>
        </w:rPr>
        <w:t xml:space="preserve"> </w:t>
      </w:r>
      <w:r>
        <w:rPr>
          <w:rFonts w:ascii="Gentium" w:hAnsi="Gentium" w:eastAsia="Gentium" w:cs="Gentium"/>
          <w:sz w:val="24"/>
          <w:szCs w:val="24"/>
        </w:rPr>
        <w:t xml:space="preserve">J. Haught, C.A. Russell, A.R. Peacock, I.G. Barbour, P.C.W. Davis, S.I. Jaki. </w:t>
      </w:r>
      <w:r>
        <w:rPr>
          <w:rFonts w:ascii="Gentium" w:hAnsi="Gentium" w:eastAsia="Gentium" w:cs="Gentium"/>
          <w:sz w:val="24"/>
          <w:szCs w:val="24"/>
        </w:rPr>
        <w:t xml:space="preserve"> O dezvoltare recentă</w:t>
      </w:r>
      <w:r>
        <w:rPr>
          <w:rFonts w:ascii="Gentium" w:hAnsi="Gentium" w:eastAsia="Gentium" w:cs="Gentium"/>
          <w:sz w:val="24"/>
          <w:szCs w:val="24"/>
        </w:rPr>
        <w:t xml:space="preserve"> a eschatologiei priveşte la resursele dialogului cu alte credinţe (</w:t>
      </w:r>
      <w:r>
        <w:rPr>
          <w:rFonts w:ascii="Gentium" w:hAnsi="Gentium" w:eastAsia="Gentium" w:cs="Gentium"/>
          <w:sz w:val="24"/>
          <w:szCs w:val="24"/>
        </w:rPr>
        <w:t xml:space="preserve">iudaism islam, hinduism, budism,</w:t>
      </w:r>
      <w:r>
        <w:rPr>
          <w:rFonts w:ascii="Gentium" w:hAnsi="Gentium" w:eastAsia="Gentium" w:cs="Gentium"/>
          <w:sz w:val="24"/>
          <w:szCs w:val="24"/>
        </w:rPr>
        <w:t xml:space="preserve"> zoroastrism).</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Pentru o privire</w:t>
      </w:r>
      <w:r>
        <w:rPr>
          <w:rFonts w:ascii="Gentium" w:hAnsi="Gentium" w:eastAsia="Gentium" w:cs="Gentium"/>
          <w:sz w:val="24"/>
          <w:szCs w:val="24"/>
        </w:rPr>
        <w:t xml:space="preserve"> de ansamblu, vezi articoele lui</w:t>
      </w:r>
      <w:r>
        <w:rPr>
          <w:rFonts w:ascii="Gentium" w:hAnsi="Gentium" w:eastAsia="Gentium" w:cs="Gentium"/>
          <w:sz w:val="24"/>
          <w:szCs w:val="24"/>
        </w:rPr>
        <w:t xml:space="preserve"> </w:t>
      </w:r>
      <w:r>
        <w:rPr>
          <w:rFonts w:ascii="Gentium" w:hAnsi="Gentium" w:eastAsia="Gentium" w:cs="Gentium"/>
          <w:sz w:val="24"/>
          <w:szCs w:val="24"/>
        </w:rPr>
        <w:t xml:space="preserve">Peter C. Phan, </w:t>
      </w:r>
      <w:r>
        <w:rPr>
          <w:rFonts w:ascii="Gentium" w:hAnsi="Gentium" w:eastAsia="Gentium" w:cs="Gentium"/>
          <w:sz w:val="24"/>
          <w:szCs w:val="24"/>
        </w:rPr>
        <w:t xml:space="preserve">‘</w:t>
      </w:r>
      <w:r>
        <w:rPr>
          <w:rFonts w:ascii="Gentium" w:hAnsi="Gentium" w:eastAsia="Gentium" w:cs="Gentium"/>
          <w:sz w:val="24"/>
          <w:szCs w:val="24"/>
        </w:rPr>
        <w:t xml:space="preserve">Roman Catholic Theology’, in </w:t>
      </w:r>
      <w:r>
        <w:rPr>
          <w:rFonts w:ascii="Gentium" w:hAnsi="Gentium" w:eastAsia="Gentium" w:cs="Gentium"/>
          <w:sz w:val="24"/>
          <w:szCs w:val="24"/>
        </w:rPr>
        <w:t xml:space="preserve">Jerry L. Walls</w:t>
      </w:r>
      <w:r>
        <w:rPr>
          <w:rFonts w:ascii="Gentium" w:hAnsi="Gentium" w:eastAsia="Gentium" w:cs="Gentium"/>
          <w:sz w:val="24"/>
          <w:szCs w:val="24"/>
        </w:rPr>
        <w:t xml:space="preserve"> (ed)</w:t>
      </w:r>
      <w:r>
        <w:rPr>
          <w:rFonts w:ascii="Gentium" w:hAnsi="Gentium" w:eastAsia="Gentium" w:cs="Gentium"/>
          <w:sz w:val="24"/>
          <w:szCs w:val="24"/>
        </w:rPr>
        <w:t xml:space="preserve">, </w:t>
      </w:r>
      <w:r>
        <w:rPr>
          <w:rFonts w:ascii="Gentium" w:hAnsi="Gentium" w:eastAsia="Gentium" w:cs="Gentium"/>
          <w:i/>
          <w:iCs/>
          <w:sz w:val="24"/>
          <w:szCs w:val="24"/>
        </w:rPr>
        <w:t xml:space="preserve">The Oxford Handbook of Eschatolog</w:t>
      </w:r>
      <w:r>
        <w:rPr>
          <w:rFonts w:ascii="Gentium" w:hAnsi="Gentium" w:eastAsia="Gentium" w:cs="Gentium"/>
          <w:i/>
          <w:iCs/>
          <w:sz w:val="24"/>
          <w:szCs w:val="24"/>
        </w:rPr>
        <w:t xml:space="preserve">y</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Oxford: OUP, </w:t>
      </w:r>
      <w:r>
        <w:rPr>
          <w:rFonts w:ascii="Gentium" w:hAnsi="Gentium" w:eastAsia="Gentium" w:cs="Gentium"/>
          <w:sz w:val="24"/>
          <w:szCs w:val="24"/>
        </w:rPr>
        <w:t xml:space="preserve">215</w:t>
      </w:r>
      <w:r>
        <w:rPr>
          <w:rFonts w:ascii="Gentium" w:hAnsi="Gentium" w:eastAsia="Gentium" w:cs="Gentium"/>
          <w:sz w:val="24"/>
          <w:szCs w:val="24"/>
        </w:rPr>
        <w:t xml:space="preserve">-</w:t>
      </w:r>
      <w:r>
        <w:rPr>
          <w:rFonts w:ascii="Gentium" w:hAnsi="Gentium" w:eastAsia="Gentium" w:cs="Gentium"/>
          <w:sz w:val="24"/>
          <w:szCs w:val="24"/>
        </w:rPr>
        <w:t xml:space="preserve">232</w:t>
      </w:r>
      <w:r>
        <w:rPr>
          <w:rFonts w:ascii="Gentium" w:hAnsi="Gentium" w:eastAsia="Gentium" w:cs="Gentium"/>
          <w:sz w:val="24"/>
          <w:szCs w:val="24"/>
        </w:rPr>
        <w:t xml:space="preserve">.</w:t>
      </w:r>
      <w:r>
        <w:rPr>
          <w:rFonts w:ascii="Gentium" w:hAnsi="Gentium" w:eastAsia="Gentium" w:cs="Gentium"/>
          <w:sz w:val="24"/>
          <w:szCs w:val="24"/>
        </w:rPr>
        <w:t xml:space="preserve"> Cf. </w:t>
      </w:r>
      <w:r>
        <w:rPr>
          <w:rFonts w:ascii="Gentium" w:hAnsi="Gentium" w:eastAsia="Gentium" w:cs="Gentium"/>
          <w:sz w:val="24"/>
          <w:szCs w:val="24"/>
        </w:rPr>
        <w:t xml:space="preserve">ş</w:t>
      </w:r>
      <w:r>
        <w:rPr>
          <w:rFonts w:ascii="Gentium" w:hAnsi="Gentium" w:eastAsia="Gentium" w:cs="Gentium"/>
          <w:sz w:val="24"/>
          <w:szCs w:val="24"/>
        </w:rPr>
        <w:t xml:space="preserve">i Andrew Louth,</w:t>
      </w:r>
      <w:r>
        <w:rPr>
          <w:rFonts w:ascii="Gentium" w:hAnsi="Gentium" w:eastAsia="Gentium" w:cs="Gentium"/>
          <w:sz w:val="24"/>
          <w:szCs w:val="24"/>
        </w:rPr>
        <w:t xml:space="preserve"> ‘</w:t>
      </w:r>
      <w:r>
        <w:rPr>
          <w:rFonts w:ascii="Gentium" w:hAnsi="Gentium" w:eastAsia="Gentium" w:cs="Gentium"/>
          <w:sz w:val="24"/>
          <w:szCs w:val="24"/>
        </w:rPr>
        <w:t xml:space="preserve">Eastern Orthodox Eschatology</w:t>
      </w:r>
      <w:r>
        <w:rPr>
          <w:rFonts w:ascii="Gentium" w:hAnsi="Gentium" w:eastAsia="Gentium" w:cs="Gentium"/>
          <w:sz w:val="24"/>
          <w:szCs w:val="24"/>
        </w:rPr>
        <w:t xml:space="preserve">’</w:t>
      </w:r>
      <w:r>
        <w:rPr>
          <w:rFonts w:ascii="Gentium" w:hAnsi="Gentium" w:eastAsia="Gentium" w:cs="Gentium"/>
          <w:sz w:val="24"/>
          <w:szCs w:val="24"/>
        </w:rPr>
        <w:t xml:space="preserve">, in Walls, </w:t>
      </w:r>
      <w:r>
        <w:rPr>
          <w:rFonts w:ascii="Gentium" w:hAnsi="Gentium" w:eastAsia="Gentium" w:cs="Gentium"/>
          <w:i/>
          <w:iCs/>
          <w:sz w:val="24"/>
          <w:szCs w:val="24"/>
        </w:rPr>
        <w:t xml:space="preserve">OHE</w:t>
      </w:r>
      <w:r>
        <w:rPr>
          <w:rFonts w:ascii="Gentium" w:hAnsi="Gentium" w:eastAsia="Gentium" w:cs="Gentium"/>
          <w:sz w:val="24"/>
          <w:szCs w:val="24"/>
        </w:rPr>
        <w:t xml:space="preserve">, </w:t>
      </w:r>
      <w:r>
        <w:rPr>
          <w:rFonts w:ascii="Gentium" w:hAnsi="Gentium" w:eastAsia="Gentium" w:cs="Gentium"/>
          <w:sz w:val="24"/>
          <w:szCs w:val="24"/>
        </w:rPr>
        <w:t xml:space="preserve">233-</w:t>
      </w:r>
      <w:r>
        <w:rPr>
          <w:rFonts w:ascii="Gentium" w:hAnsi="Gentium" w:eastAsia="Gentium" w:cs="Gentium"/>
          <w:sz w:val="24"/>
          <w:szCs w:val="24"/>
        </w:rPr>
        <w:t xml:space="preserve">247.</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r>
      <w:bookmarkStart w:id="70" w:name="_Toc252991874"/>
      <w:r>
        <w:rPr>
          <w:rFonts w:ascii="Gentium" w:hAnsi="Gentium" w:eastAsia="Gentium" w:cs="Gentium"/>
          <w:sz w:val="24"/>
          <w:szCs w:val="24"/>
        </w:rPr>
        <w:t xml:space="preserve">Bibliografie</w:t>
      </w:r>
      <w:r>
        <w:rPr>
          <w:rFonts w:ascii="Gentium" w:hAnsi="Gentium" w:eastAsia="Gentium" w:cs="Gentium"/>
          <w:sz w:val="24"/>
          <w:szCs w:val="24"/>
        </w:rPr>
        <w:t xml:space="preserve"> generală</w:t>
      </w:r>
      <w:bookmarkEnd w:id="70"/>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lang w:eastAsia="en-US"/>
        </w:rPr>
        <w:t xml:space="preserve">Baban, O., </w:t>
      </w:r>
      <w:r>
        <w:rPr>
          <w:rFonts w:ascii="Gentium" w:hAnsi="Gentium" w:eastAsia="Gentium" w:cs="Gentium"/>
          <w:i/>
          <w:sz w:val="24"/>
          <w:szCs w:val="24"/>
          <w:lang w:eastAsia="en-US"/>
        </w:rPr>
        <w:t xml:space="preserve">Incursiune în Noul Testament</w:t>
      </w:r>
      <w:r>
        <w:rPr>
          <w:rFonts w:ascii="Gentium" w:hAnsi="Gentium" w:eastAsia="Gentium" w:cs="Gentium"/>
          <w:sz w:val="24"/>
          <w:szCs w:val="24"/>
          <w:lang w:eastAsia="en-US"/>
        </w:rPr>
        <w:t xml:space="preserve"> (Bucureşti: Liga Bibliei, 2003)</w:t>
      </w:r>
      <w:r>
        <w:rPr>
          <w:rFonts w:ascii="Gentium" w:hAnsi="Gentium" w:eastAsia="Gentium" w:cs="Gentium"/>
          <w:sz w:val="24"/>
          <w:szCs w:val="24"/>
          <w:lang w:eastAsia="en-US"/>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_______, „Conflictele Bisericii în Faptele Apostolilor : între stil literar şi modele misionare”, în  O. Bunaciu, R. Gheorghiţă, E. Bartoş (eds), </w:t>
      </w:r>
      <w:r>
        <w:rPr>
          <w:rFonts w:ascii="Gentium" w:hAnsi="Gentium" w:eastAsia="Gentium" w:cs="Gentium"/>
          <w:i/>
          <w:iCs/>
          <w:sz w:val="24"/>
          <w:szCs w:val="24"/>
        </w:rPr>
        <w:t xml:space="preserve">Care imparte drept cuvântul adevărului. Volum omagial Ioan Bunaciu</w:t>
      </w:r>
      <w:r>
        <w:rPr>
          <w:rFonts w:ascii="Gentium" w:hAnsi="Gentium" w:eastAsia="Gentium" w:cs="Gentium"/>
          <w:sz w:val="24"/>
          <w:szCs w:val="24"/>
        </w:rPr>
        <w:t xml:space="preserve">, Reformatio, Oradea, 2005, 23-40</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Gentium" w:hAnsi="Gentium" w:cs="Gentium"/>
          <w:sz w:val="24"/>
          <w:szCs w:val="24"/>
        </w:rPr>
      </w:pPr>
      <w:r>
        <w:rPr>
          <w:rFonts w:ascii="Gentium" w:hAnsi="Gentium" w:eastAsia="Gentium" w:cs="Gentium"/>
          <w:sz w:val="24"/>
          <w:szCs w:val="24"/>
          <w:lang w:eastAsia="en-US"/>
        </w:rPr>
      </w:r>
      <w:r>
        <w:rPr>
          <w:rFonts w:ascii="Gentium" w:hAnsi="Gentium" w:eastAsia="Gentium" w:cs="Gentium"/>
          <w:sz w:val="24"/>
          <w:szCs w:val="24"/>
          <w:lang w:eastAsia="en-US"/>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rPr>
        <w:t xml:space="preserve">Baslez, M.-F. </w:t>
      </w:r>
      <w:r>
        <w:rPr>
          <w:rFonts w:ascii="Gentium" w:hAnsi="Gentium" w:eastAsia="Gentium" w:cs="Gentium"/>
          <w:i/>
          <w:sz w:val="24"/>
          <w:szCs w:val="24"/>
        </w:rPr>
        <w:t xml:space="preserve">Sfîntul Pavel</w:t>
      </w:r>
      <w:r>
        <w:rPr>
          <w:rFonts w:ascii="Gentium" w:hAnsi="Gentium" w:eastAsia="Gentium" w:cs="Gentium"/>
          <w:sz w:val="24"/>
          <w:szCs w:val="24"/>
        </w:rPr>
        <w:t xml:space="preserve">, Anca Maria I. Christodorescu (trad) (Bucureşti: Compania, 2001)</w:t>
      </w:r>
      <w:r>
        <w:rPr>
          <w:rFonts w:ascii="Gentium" w:hAnsi="Gentium" w:eastAsia="Gentium" w:cs="Gentium"/>
          <w:sz w:val="24"/>
          <w:szCs w:val="24"/>
          <w:lang w:eastAsia="en-US"/>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rFonts w:ascii="Gentium" w:hAnsi="Gentium" w:cs="Gentium"/>
          <w:sz w:val="24"/>
          <w:szCs w:val="24"/>
        </w:rPr>
      </w:pPr>
      <w:r>
        <w:rPr>
          <w:rFonts w:ascii="Gentium" w:hAnsi="Gentium" w:eastAsia="Gentium" w:cs="Gentium"/>
          <w:sz w:val="24"/>
          <w:szCs w:val="24"/>
          <w:lang w:eastAsia="en-US"/>
        </w:rPr>
      </w:r>
      <w:r>
        <w:rPr>
          <w:rFonts w:ascii="Gentium" w:hAnsi="Gentium" w:eastAsia="Gentium" w:cs="Gentium"/>
          <w:sz w:val="24"/>
          <w:szCs w:val="24"/>
          <w:lang w:eastAsia="en-US"/>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lang w:eastAsia="en-US"/>
        </w:rPr>
        <w:t xml:space="preserve">Bauckham, R., </w:t>
      </w:r>
      <w:r>
        <w:rPr>
          <w:rFonts w:ascii="Gentium" w:hAnsi="Gentium" w:eastAsia="Gentium" w:cs="Gentium"/>
          <w:i/>
          <w:sz w:val="24"/>
          <w:szCs w:val="24"/>
          <w:lang w:eastAsia="en-US"/>
        </w:rPr>
        <w:t xml:space="preserve">The Bible in Politics. How to Read the Bible Politically,</w:t>
      </w:r>
      <w:r>
        <w:rPr>
          <w:rFonts w:ascii="Gentium" w:hAnsi="Gentium" w:eastAsia="Gentium" w:cs="Gentium"/>
          <w:sz w:val="24"/>
          <w:szCs w:val="24"/>
          <w:lang w:eastAsia="en-US"/>
        </w:rPr>
        <w:t xml:space="preserve"> (London: SPCK, 1989)</w:t>
      </w:r>
      <w:r>
        <w:rPr>
          <w:rFonts w:ascii="Gentium" w:hAnsi="Gentium" w:eastAsia="Gentium" w:cs="Gentium"/>
          <w:sz w:val="24"/>
          <w:szCs w:val="24"/>
          <w:lang w:eastAsia="en-US"/>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_______, </w:t>
      </w:r>
      <w:r>
        <w:rPr>
          <w:rFonts w:ascii="Gentium" w:hAnsi="Gentium" w:eastAsia="Gentium" w:cs="Gentium"/>
          <w:i/>
          <w:sz w:val="24"/>
          <w:szCs w:val="24"/>
        </w:rPr>
        <w:t xml:space="preserve">The Theology of the Book of Revelation</w:t>
      </w:r>
      <w:r>
        <w:rPr>
          <w:rFonts w:ascii="Gentium" w:hAnsi="Gentium" w:eastAsia="Gentium" w:cs="Gentium"/>
          <w:sz w:val="24"/>
          <w:szCs w:val="24"/>
        </w:rPr>
        <w:t xml:space="preserve"> (Cambridge: CUP, 1993)</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lang w:eastAsia="en-US"/>
        </w:rPr>
        <w:t xml:space="preserve">Beasley-Murray, G.R., </w:t>
      </w:r>
      <w:r>
        <w:rPr>
          <w:rFonts w:ascii="Gentium" w:hAnsi="Gentium" w:eastAsia="Gentium" w:cs="Gentium"/>
          <w:i/>
          <w:sz w:val="24"/>
          <w:szCs w:val="24"/>
          <w:lang w:eastAsia="en-US"/>
        </w:rPr>
        <w:t xml:space="preserve">Jesus and the Kingdom of  God</w:t>
      </w:r>
      <w:r>
        <w:rPr>
          <w:rFonts w:ascii="Gentium" w:hAnsi="Gentium" w:eastAsia="Gentium" w:cs="Gentium"/>
          <w:sz w:val="24"/>
          <w:szCs w:val="24"/>
          <w:lang w:eastAsia="en-US"/>
        </w:rPr>
        <w:t xml:space="preserve"> (London: Paternoster Press; Eerdmans, 1986)</w:t>
      </w:r>
      <w:r>
        <w:rPr>
          <w:rFonts w:ascii="Gentium" w:hAnsi="Gentium" w:eastAsia="Gentium" w:cs="Gentium"/>
          <w:sz w:val="24"/>
          <w:szCs w:val="24"/>
          <w:lang w:eastAsia="en-US"/>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Bauckham, R., </w:t>
      </w:r>
      <w:r>
        <w:rPr>
          <w:rFonts w:ascii="Gentium" w:hAnsi="Gentium" w:eastAsia="Gentium" w:cs="Gentium"/>
          <w:i/>
          <w:sz w:val="24"/>
          <w:szCs w:val="24"/>
        </w:rPr>
        <w:t xml:space="preserve">The Bible in Politics. How to Read the Bible Politically,</w:t>
      </w:r>
      <w:r>
        <w:rPr>
          <w:rFonts w:ascii="Gentium" w:hAnsi="Gentium" w:eastAsia="Gentium" w:cs="Gentium"/>
          <w:sz w:val="24"/>
          <w:szCs w:val="24"/>
        </w:rPr>
        <w:t xml:space="preserve"> (London: SPCK, 1989)</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Bădiliţă, C., </w:t>
      </w:r>
      <w:r>
        <w:rPr>
          <w:rFonts w:ascii="Gentium" w:hAnsi="Gentium" w:eastAsia="Gentium" w:cs="Gentium"/>
          <w:i/>
          <w:sz w:val="24"/>
          <w:szCs w:val="24"/>
        </w:rPr>
        <w:t xml:space="preserve">Manual de anticristologie. Studii, dosar biblic, traduceri şi comentarii</w:t>
      </w:r>
      <w:r>
        <w:rPr>
          <w:rFonts w:ascii="Gentium" w:hAnsi="Gentium" w:eastAsia="Gentium" w:cs="Gentium"/>
          <w:sz w:val="24"/>
          <w:szCs w:val="24"/>
        </w:rPr>
        <w:t xml:space="preserve">, Iaşi: Polirom, 2002.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Beasley-Murray, G.R., </w:t>
      </w:r>
      <w:r>
        <w:rPr>
          <w:rFonts w:ascii="Gentium" w:hAnsi="Gentium" w:eastAsia="Gentium" w:cs="Gentium"/>
          <w:i/>
          <w:sz w:val="24"/>
          <w:szCs w:val="24"/>
        </w:rPr>
        <w:t xml:space="preserve">Jesus and the Kingdom of  God</w:t>
      </w:r>
      <w:r>
        <w:rPr>
          <w:rFonts w:ascii="Gentium" w:hAnsi="Gentium" w:eastAsia="Gentium" w:cs="Gentium"/>
          <w:sz w:val="24"/>
          <w:szCs w:val="24"/>
        </w:rPr>
        <w:t xml:space="preserve"> (London: Paternoster Press; Eerdmans, 1986)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Borg, M.J., </w:t>
      </w:r>
      <w:r>
        <w:rPr>
          <w:rFonts w:ascii="Gentium" w:hAnsi="Gentium" w:eastAsia="Gentium" w:cs="Gentium"/>
          <w:i/>
          <w:sz w:val="24"/>
          <w:szCs w:val="24"/>
        </w:rPr>
        <w:t xml:space="preserve">Conflict, Holiness &amp; Politics in the Teachings of Jesus</w:t>
      </w:r>
      <w:r>
        <w:rPr>
          <w:rFonts w:ascii="Gentium" w:hAnsi="Gentium" w:eastAsia="Gentium" w:cs="Gentium"/>
          <w:sz w:val="24"/>
          <w:szCs w:val="24"/>
        </w:rPr>
        <w:t xml:space="preserve">, in </w:t>
      </w:r>
      <w:r>
        <w:rPr>
          <w:rFonts w:ascii="Gentium" w:hAnsi="Gentium" w:eastAsia="Gentium" w:cs="Gentium"/>
          <w:i/>
          <w:sz w:val="24"/>
          <w:szCs w:val="24"/>
        </w:rPr>
        <w:t xml:space="preserve">Studies in the Bible and Early Christianity 5</w:t>
      </w:r>
      <w:r>
        <w:rPr>
          <w:rFonts w:ascii="Gentium" w:hAnsi="Gentium" w:eastAsia="Gentium" w:cs="Gentium"/>
          <w:sz w:val="24"/>
          <w:szCs w:val="24"/>
        </w:rPr>
        <w:t xml:space="preserve"> (New York / Toronto: Edwin Mellen, 1984)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Braga C., </w:t>
      </w:r>
      <w:r>
        <w:rPr>
          <w:rFonts w:ascii="Gentium" w:hAnsi="Gentium" w:eastAsia="Gentium" w:cs="Gentium"/>
          <w:i/>
          <w:sz w:val="24"/>
          <w:szCs w:val="24"/>
        </w:rPr>
        <w:t xml:space="preserve">De la arhetip la anarhetip</w:t>
      </w:r>
      <w:r>
        <w:rPr>
          <w:rFonts w:ascii="Gentium" w:hAnsi="Gentium" w:eastAsia="Gentium" w:cs="Gentium"/>
          <w:sz w:val="24"/>
          <w:szCs w:val="24"/>
        </w:rPr>
        <w:t xml:space="preserve">, Iaşi: Polirom, 2006.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Bright, J., </w:t>
      </w:r>
      <w:r>
        <w:rPr>
          <w:rFonts w:ascii="Gentium" w:hAnsi="Gentium" w:eastAsia="Gentium" w:cs="Gentium"/>
          <w:i/>
          <w:sz w:val="24"/>
          <w:szCs w:val="24"/>
        </w:rPr>
        <w:t xml:space="preserve">A History of Israel</w:t>
      </w:r>
      <w:r>
        <w:rPr>
          <w:rFonts w:ascii="Gentium" w:hAnsi="Gentium" w:eastAsia="Gentium" w:cs="Gentium"/>
          <w:sz w:val="24"/>
          <w:szCs w:val="24"/>
        </w:rPr>
        <w:t xml:space="preserve"> (London: SCM Press, 1980)</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Bouquet, A.C., </w:t>
      </w:r>
      <w:r>
        <w:rPr>
          <w:rFonts w:ascii="Gentium" w:hAnsi="Gentium" w:eastAsia="Gentium" w:cs="Gentium"/>
          <w:i/>
          <w:sz w:val="24"/>
          <w:szCs w:val="24"/>
        </w:rPr>
        <w:t xml:space="preserve">Everyday Life in New Testament Times</w:t>
      </w:r>
      <w:r>
        <w:rPr>
          <w:rFonts w:ascii="Gentium" w:hAnsi="Gentium" w:eastAsia="Gentium" w:cs="Gentium"/>
          <w:sz w:val="24"/>
          <w:szCs w:val="24"/>
        </w:rPr>
        <w:t xml:space="preserve"> (London: Carousel, 1974)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Cary, M., şi Scullard, H., </w:t>
      </w:r>
      <w:r>
        <w:rPr>
          <w:rFonts w:ascii="Gentium" w:hAnsi="Gentium" w:eastAsia="Gentium" w:cs="Gentium"/>
          <w:i/>
          <w:sz w:val="24"/>
          <w:szCs w:val="24"/>
        </w:rPr>
        <w:t xml:space="preserve">Istoria Romei </w:t>
      </w:r>
      <w:r>
        <w:rPr>
          <w:rFonts w:ascii="Gentium" w:hAnsi="Gentium" w:eastAsia="Gentium" w:cs="Gentium"/>
          <w:sz w:val="24"/>
          <w:szCs w:val="24"/>
        </w:rPr>
        <w:t xml:space="preserve">(Bucureşti: All, 2008)</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Carson, D.A. şi Morris, L., </w:t>
      </w:r>
      <w:r>
        <w:rPr>
          <w:rFonts w:ascii="Gentium" w:hAnsi="Gentium" w:eastAsia="Gentium" w:cs="Gentium"/>
          <w:i/>
          <w:sz w:val="24"/>
          <w:szCs w:val="24"/>
        </w:rPr>
        <w:t xml:space="preserve">Introducere în Noul Testament</w:t>
      </w:r>
      <w:r>
        <w:rPr>
          <w:rFonts w:ascii="Gentium" w:hAnsi="Gentium" w:eastAsia="Gentium" w:cs="Gentium"/>
          <w:sz w:val="24"/>
          <w:szCs w:val="24"/>
        </w:rPr>
        <w:t xml:space="preserve">, Dinu Moga (trad.), Oradea: Făclia, 2007 (</w:t>
      </w:r>
      <w:r>
        <w:rPr>
          <w:rFonts w:ascii="Gentium" w:hAnsi="Gentium" w:eastAsia="Gentium" w:cs="Gentium"/>
          <w:i/>
          <w:sz w:val="24"/>
          <w:szCs w:val="24"/>
        </w:rPr>
        <w:t xml:space="preserve">An Introduction to the New Testament</w:t>
      </w:r>
      <w:r>
        <w:rPr>
          <w:rFonts w:ascii="Gentium" w:hAnsi="Gentium" w:eastAsia="Gentium" w:cs="Gentium"/>
          <w:sz w:val="24"/>
          <w:szCs w:val="24"/>
        </w:rPr>
        <w:t xml:space="preserve">, Grand Rapids:  Zondervan, 1992).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Cassidy R.J., şi Scharper, P.J., (eds), </w:t>
      </w:r>
      <w:r>
        <w:rPr>
          <w:rFonts w:ascii="Gentium" w:hAnsi="Gentium" w:eastAsia="Gentium" w:cs="Gentium"/>
          <w:i/>
          <w:sz w:val="24"/>
          <w:szCs w:val="24"/>
        </w:rPr>
        <w:t xml:space="preserve">Political Issues in Luke-Acts</w:t>
      </w:r>
      <w:r>
        <w:rPr>
          <w:rFonts w:ascii="Gentium" w:hAnsi="Gentium" w:eastAsia="Gentium" w:cs="Gentium"/>
          <w:sz w:val="24"/>
          <w:szCs w:val="24"/>
        </w:rPr>
        <w:t xml:space="preserve"> (Maryknoll: Orbis, 1983) </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Casson, L., </w:t>
      </w:r>
      <w:r>
        <w:rPr>
          <w:rFonts w:ascii="Gentium" w:hAnsi="Gentium" w:eastAsia="Gentium" w:cs="Gentium"/>
          <w:i/>
          <w:sz w:val="24"/>
          <w:szCs w:val="24"/>
        </w:rPr>
        <w:t xml:space="preserve">Travel in the Ancient World</w:t>
      </w:r>
      <w:r>
        <w:rPr>
          <w:rFonts w:ascii="Gentium" w:hAnsi="Gentium" w:eastAsia="Gentium" w:cs="Gentium"/>
          <w:sz w:val="24"/>
          <w:szCs w:val="24"/>
        </w:rPr>
        <w:t xml:space="preserve"> (Baltimore, London: John Hopkins University Press, 1994)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Creţia P., şi Bădiliţă, C. (eds) </w:t>
      </w:r>
      <w:r>
        <w:rPr>
          <w:rFonts w:ascii="Gentium" w:hAnsi="Gentium" w:eastAsia="Gentium" w:cs="Gentium"/>
          <w:i/>
          <w:sz w:val="24"/>
          <w:szCs w:val="24"/>
        </w:rPr>
        <w:t xml:space="preserve">Apocalipsa Lui Ioan în Tradiţia Iudeo-Creştină</w:t>
      </w:r>
      <w:r>
        <w:rPr>
          <w:rFonts w:ascii="Gentium" w:hAnsi="Gentium" w:eastAsia="Gentium" w:cs="Gentium"/>
          <w:sz w:val="24"/>
          <w:szCs w:val="24"/>
        </w:rPr>
        <w:t xml:space="preserve">, C. Bădiliţă and P. Creţia (trad.), studiu introductiv de C. Bădiliţă (Bucureşti: Humanitas, 1998)</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Dunn, J. D. G., </w:t>
      </w:r>
      <w:r>
        <w:rPr>
          <w:rFonts w:ascii="Gentium" w:hAnsi="Gentium" w:eastAsia="Gentium" w:cs="Gentium"/>
          <w:i/>
          <w:sz w:val="24"/>
          <w:szCs w:val="24"/>
        </w:rPr>
        <w:t xml:space="preserve">The Theology of Paul the Apostle</w:t>
      </w:r>
      <w:r>
        <w:rPr>
          <w:rFonts w:ascii="Gentium" w:hAnsi="Gentium" w:eastAsia="Gentium" w:cs="Gentium"/>
          <w:sz w:val="24"/>
          <w:szCs w:val="24"/>
        </w:rPr>
        <w:t xml:space="preserve"> (Grand Rapids, MI: Eerdmans, 1998) </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Evans, C.A. şi Porter, S.E., </w:t>
      </w:r>
      <w:r>
        <w:rPr>
          <w:rFonts w:ascii="Gentium" w:hAnsi="Gentium" w:eastAsia="Gentium" w:cs="Gentium"/>
          <w:i/>
          <w:sz w:val="24"/>
          <w:szCs w:val="24"/>
        </w:rPr>
        <w:t xml:space="preserve">Dictionary of NT Background. A Compendium of Contemporary Biblical Scholarship</w:t>
      </w:r>
      <w:r>
        <w:rPr>
          <w:rFonts w:ascii="Gentium" w:hAnsi="Gentium" w:eastAsia="Gentium" w:cs="Gentium"/>
          <w:sz w:val="24"/>
          <w:szCs w:val="24"/>
        </w:rPr>
        <w:t xml:space="preserve"> (Downers Grove, IL: InterVarsity, 2000)</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Esler, P.F. </w:t>
      </w:r>
      <w:r>
        <w:rPr>
          <w:rFonts w:ascii="Gentium" w:hAnsi="Gentium" w:eastAsia="Gentium" w:cs="Gentium"/>
          <w:i/>
          <w:sz w:val="24"/>
          <w:szCs w:val="24"/>
        </w:rPr>
        <w:t xml:space="preserve">Community and Gospel in Luke-Acts: The Social and Political Motivations of Lucan Theology</w:t>
      </w:r>
      <w:r>
        <w:rPr>
          <w:rFonts w:ascii="Gentium" w:hAnsi="Gentium" w:eastAsia="Gentium" w:cs="Gentium"/>
          <w:sz w:val="24"/>
          <w:szCs w:val="24"/>
        </w:rPr>
        <w:t xml:space="preserve"> (Cambridge: CUP, 1987)</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Freyne, S., “The Geography, Politics, and Economics of Galilee and the Quest for the Historical Jesus,” in </w:t>
      </w:r>
      <w:r>
        <w:rPr>
          <w:rFonts w:ascii="Gentium" w:hAnsi="Gentium" w:eastAsia="Gentium" w:cs="Gentium"/>
          <w:i/>
          <w:sz w:val="24"/>
          <w:szCs w:val="24"/>
        </w:rPr>
        <w:t xml:space="preserve">Studying the Historical Jesus</w:t>
      </w:r>
      <w:r>
        <w:rPr>
          <w:rFonts w:ascii="Gentium" w:hAnsi="Gentium" w:eastAsia="Gentium" w:cs="Gentium"/>
          <w:sz w:val="24"/>
          <w:szCs w:val="24"/>
        </w:rPr>
        <w:t xml:space="preserve">, Bruce Chilton and Craig A. (eds) Evans (Leiden: Brill, 1994), 75–121.</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Gill, D.W.J., “Acts and the Urban Élites,” în D.W.J. Gill şi C. (eds) Gempf, </w:t>
      </w:r>
      <w:r>
        <w:rPr>
          <w:rFonts w:ascii="Gentium" w:hAnsi="Gentium" w:eastAsia="Gentium" w:cs="Gentium"/>
          <w:i/>
          <w:sz w:val="24"/>
          <w:szCs w:val="24"/>
        </w:rPr>
        <w:t xml:space="preserve">The Book of Acts in Its Graeco-Roman Setting</w:t>
      </w:r>
      <w:r>
        <w:rPr>
          <w:rFonts w:ascii="Gentium" w:hAnsi="Gentium" w:eastAsia="Gentium" w:cs="Gentium"/>
          <w:sz w:val="24"/>
          <w:szCs w:val="24"/>
        </w:rPr>
        <w:t xml:space="preserve"> (Carlisle: Paternoster, 1994), 105–18</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_______,  “Acts and Roman Policy in Judaea,” în R. Bauckham (ed), </w:t>
      </w:r>
      <w:r>
        <w:rPr>
          <w:rFonts w:ascii="Gentium" w:hAnsi="Gentium" w:eastAsia="Gentium" w:cs="Gentium"/>
          <w:i/>
          <w:sz w:val="24"/>
          <w:szCs w:val="24"/>
        </w:rPr>
        <w:t xml:space="preserve">The Book of Acts in Its Palestinian Setting</w:t>
      </w:r>
      <w:r>
        <w:rPr>
          <w:rFonts w:ascii="Gentium" w:hAnsi="Gentium" w:eastAsia="Gentium" w:cs="Gentium"/>
          <w:sz w:val="24"/>
          <w:szCs w:val="24"/>
        </w:rPr>
        <w:t xml:space="preserve"> (Carlisle: Paternoster, 1995), 15–26 </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Godo, E. (ed), </w:t>
      </w:r>
      <w:r>
        <w:rPr>
          <w:rFonts w:ascii="Gentium" w:hAnsi="Gentium" w:eastAsia="Gentium" w:cs="Gentium"/>
          <w:i/>
          <w:sz w:val="24"/>
          <w:szCs w:val="24"/>
        </w:rPr>
        <w:t xml:space="preserve">Convertirea religioasă</w:t>
      </w:r>
      <w:r>
        <w:rPr>
          <w:rFonts w:ascii="Gentium" w:hAnsi="Gentium" w:eastAsia="Gentium" w:cs="Gentium"/>
          <w:sz w:val="24"/>
          <w:szCs w:val="24"/>
        </w:rPr>
        <w:t xml:space="preserve">, trad. E. Petuhov (Bucureşti: Anastasia, 2002)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Goppelt, L., </w:t>
      </w:r>
      <w:r>
        <w:rPr>
          <w:rFonts w:ascii="Gentium" w:hAnsi="Gentium" w:eastAsia="Gentium" w:cs="Gentium"/>
          <w:i/>
          <w:sz w:val="24"/>
          <w:szCs w:val="24"/>
        </w:rPr>
        <w:t xml:space="preserve">A Commentary on 1 Peter</w:t>
      </w:r>
      <w:r>
        <w:rPr>
          <w:rFonts w:ascii="Gentium" w:hAnsi="Gentium" w:eastAsia="Gentium" w:cs="Gentium"/>
          <w:sz w:val="24"/>
          <w:szCs w:val="24"/>
        </w:rPr>
        <w:t xml:space="preserve"> (Grand Rapids, MI: W. B. Eerdmans, 1993)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Green, J.B. şi McKnight, S.(eds) </w:t>
      </w:r>
      <w:r>
        <w:rPr>
          <w:rFonts w:ascii="Gentium" w:hAnsi="Gentium" w:eastAsia="Gentium" w:cs="Gentium"/>
          <w:i/>
          <w:sz w:val="24"/>
          <w:szCs w:val="24"/>
        </w:rPr>
        <w:t xml:space="preserve">Dictionary of Jesus and the Gospels</w:t>
      </w:r>
      <w:r>
        <w:rPr>
          <w:rFonts w:ascii="Gentium" w:hAnsi="Gentium" w:eastAsia="Gentium" w:cs="Gentium"/>
          <w:sz w:val="24"/>
          <w:szCs w:val="24"/>
        </w:rPr>
        <w:t xml:space="preserve"> (Leicester: IVP, 1992)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Hansen, W., (ed), </w:t>
      </w:r>
      <w:r>
        <w:rPr>
          <w:rFonts w:ascii="Gentium" w:hAnsi="Gentium" w:eastAsia="Gentium" w:cs="Gentium"/>
          <w:i/>
          <w:sz w:val="24"/>
          <w:szCs w:val="24"/>
        </w:rPr>
        <w:t xml:space="preserve">Anthology of Ancient Greek Popular Literature</w:t>
      </w:r>
      <w:r>
        <w:rPr>
          <w:rFonts w:ascii="Gentium" w:hAnsi="Gentium" w:eastAsia="Gentium" w:cs="Gentium"/>
          <w:sz w:val="24"/>
          <w:szCs w:val="24"/>
        </w:rPr>
        <w:t xml:space="preserve"> (Bloomington, IN: Indiana University Press, 1998)</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Hawthorne, G.F., Martin, R.P., şi Reid, D.G. (eds), </w:t>
      </w:r>
      <w:r>
        <w:rPr>
          <w:rFonts w:ascii="Gentium" w:hAnsi="Gentium" w:eastAsia="Gentium" w:cs="Gentium"/>
          <w:i/>
          <w:sz w:val="24"/>
          <w:szCs w:val="24"/>
        </w:rPr>
        <w:t xml:space="preserve">Dictionary of Paul and His Letters. A Compendium of Contemporary Biblical Scholarship</w:t>
      </w:r>
      <w:r>
        <w:rPr>
          <w:rFonts w:ascii="Gentium" w:hAnsi="Gentium" w:eastAsia="Gentium" w:cs="Gentium"/>
          <w:sz w:val="24"/>
          <w:szCs w:val="24"/>
        </w:rPr>
        <w:t xml:space="preserve"> (Leicester: IVP, 1993)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Hengel, M. </w:t>
      </w:r>
      <w:r>
        <w:rPr>
          <w:rFonts w:ascii="Gentium" w:hAnsi="Gentium" w:eastAsia="Gentium" w:cs="Gentium"/>
          <w:i/>
          <w:sz w:val="24"/>
          <w:szCs w:val="24"/>
        </w:rPr>
        <w:t xml:space="preserve">Judaism and Hellenism</w:t>
      </w:r>
      <w:r>
        <w:rPr>
          <w:rFonts w:ascii="Gentium" w:hAnsi="Gentium" w:eastAsia="Gentium" w:cs="Gentium"/>
          <w:sz w:val="24"/>
          <w:szCs w:val="24"/>
        </w:rPr>
        <w:t xml:space="preserve"> (London: SCM, 1974)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Herschel, Sh., (ed.) </w:t>
      </w:r>
      <w:r>
        <w:rPr>
          <w:rFonts w:ascii="Gentium" w:hAnsi="Gentium" w:eastAsia="Gentium" w:cs="Gentium"/>
          <w:i/>
          <w:sz w:val="24"/>
          <w:szCs w:val="24"/>
        </w:rPr>
        <w:t xml:space="preserve">Christianity and Rabbinic Judaism. A Parallel History of Their Origins and Early Development</w:t>
      </w:r>
      <w:r>
        <w:rPr>
          <w:rFonts w:ascii="Gentium" w:hAnsi="Gentium" w:eastAsia="Gentium" w:cs="Gentium"/>
          <w:sz w:val="24"/>
          <w:szCs w:val="24"/>
        </w:rPr>
        <w:t xml:space="preserve"> (London: SPCK, 1993)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Howard, C.K., şi Young, F.W., </w:t>
      </w:r>
      <w:r>
        <w:rPr>
          <w:rFonts w:ascii="Gentium" w:hAnsi="Gentium" w:eastAsia="Gentium" w:cs="Gentium"/>
          <w:i/>
          <w:sz w:val="24"/>
          <w:szCs w:val="24"/>
        </w:rPr>
        <w:t xml:space="preserve">The Living World of the New Testament</w:t>
      </w:r>
      <w:r>
        <w:rPr>
          <w:rFonts w:ascii="Gentium" w:hAnsi="Gentium" w:eastAsia="Gentium" w:cs="Gentium"/>
          <w:sz w:val="24"/>
          <w:szCs w:val="24"/>
        </w:rPr>
        <w:t xml:space="preserve"> (London: Darton, Longman &amp; Todd, 1966)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Hurtado, L., </w:t>
      </w:r>
      <w:r>
        <w:rPr>
          <w:rFonts w:ascii="Gentium" w:hAnsi="Gentium" w:eastAsia="Gentium" w:cs="Gentium"/>
          <w:i/>
          <w:iCs/>
          <w:sz w:val="24"/>
          <w:szCs w:val="24"/>
        </w:rPr>
        <w:t xml:space="preserve">Lord Jesus Christ. Devotion to Jesus in Earliest Christianity </w:t>
      </w:r>
      <w:r>
        <w:rPr>
          <w:rFonts w:ascii="Gentium" w:hAnsi="Gentium" w:eastAsia="Gentium" w:cs="Gentium"/>
          <w:sz w:val="24"/>
          <w:szCs w:val="24"/>
        </w:rPr>
        <w:t xml:space="preserve">(Grand Rapids, MI: Eerdmans, 2003).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Mason, S., “Chief Priests, Saducees, Pharisees and Sanhedrin in Acts,” în R. Bauckham (ed), </w:t>
      </w:r>
      <w:r>
        <w:rPr>
          <w:rFonts w:ascii="Gentium" w:hAnsi="Gentium" w:eastAsia="Gentium" w:cs="Gentium"/>
          <w:i/>
          <w:sz w:val="24"/>
          <w:szCs w:val="24"/>
        </w:rPr>
        <w:t xml:space="preserve">The Book of Acts in Its Palestinian Setting</w:t>
      </w:r>
      <w:r>
        <w:rPr>
          <w:rFonts w:ascii="Gentium" w:hAnsi="Gentium" w:eastAsia="Gentium" w:cs="Gentium"/>
          <w:sz w:val="24"/>
          <w:szCs w:val="24"/>
        </w:rPr>
        <w:t xml:space="preserve"> (Carlisle: Paternoster, 1995), 115–77,</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Morgan, R., şi Stoneman J. R. (eds), </w:t>
      </w:r>
      <w:r>
        <w:rPr>
          <w:rFonts w:ascii="Gentium" w:hAnsi="Gentium" w:eastAsia="Gentium" w:cs="Gentium"/>
          <w:i/>
          <w:sz w:val="24"/>
          <w:szCs w:val="24"/>
        </w:rPr>
        <w:t xml:space="preserve">Greek Fiction. The Greek Novel in Context</w:t>
      </w:r>
      <w:r>
        <w:rPr>
          <w:rFonts w:ascii="Gentium" w:hAnsi="Gentium" w:eastAsia="Gentium" w:cs="Gentium"/>
          <w:sz w:val="24"/>
          <w:szCs w:val="24"/>
        </w:rPr>
        <w:t xml:space="preserve"> (London: Routledge, 1994)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Nicolet, C., </w:t>
      </w:r>
      <w:r>
        <w:rPr>
          <w:rFonts w:ascii="Gentium" w:hAnsi="Gentium" w:eastAsia="Gentium" w:cs="Gentium"/>
          <w:i/>
          <w:sz w:val="24"/>
          <w:szCs w:val="24"/>
        </w:rPr>
        <w:t xml:space="preserve">Space, Geography and Politics in the Early Roman Empire</w:t>
      </w:r>
      <w:r>
        <w:rPr>
          <w:rFonts w:ascii="Gentium" w:hAnsi="Gentium" w:eastAsia="Gentium" w:cs="Gentium"/>
          <w:sz w:val="24"/>
          <w:szCs w:val="24"/>
        </w:rPr>
        <w:t xml:space="preserve"> (Michigan: Ann Arbor, 1990)</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rFonts w:ascii="Gentium" w:hAnsi="Gentium" w:cs="Gentium"/>
          <w:sz w:val="24"/>
          <w:szCs w:val="24"/>
        </w:rPr>
      </w:pPr>
      <w:r>
        <w:rPr>
          <w:rFonts w:ascii="Gentium" w:hAnsi="Gentium" w:eastAsia="Gentium" w:cs="Gentium"/>
          <w:sz w:val="24"/>
          <w:szCs w:val="24"/>
        </w:rPr>
        <w:t xml:space="preserve">Peter, S., şi Cavanaugh, W.T. (eds), </w:t>
      </w:r>
      <w:r>
        <w:rPr>
          <w:rFonts w:ascii="Gentium" w:hAnsi="Gentium" w:eastAsia="Gentium" w:cs="Gentium"/>
          <w:i/>
          <w:sz w:val="24"/>
          <w:szCs w:val="24"/>
        </w:rPr>
        <w:t xml:space="preserve">The Blackwell Companion to Political Theology</w:t>
      </w:r>
      <w:r>
        <w:rPr>
          <w:rFonts w:ascii="Gentium" w:hAnsi="Gentium" w:eastAsia="Gentium" w:cs="Gentium"/>
          <w:sz w:val="24"/>
          <w:szCs w:val="24"/>
        </w:rPr>
        <w:t xml:space="preserve"> (Blackwell Publishing, 2003)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Petercă, V., </w:t>
      </w:r>
      <w:r>
        <w:rPr>
          <w:rFonts w:ascii="Gentium" w:hAnsi="Gentium" w:eastAsia="Gentium" w:cs="Gentium"/>
          <w:i/>
          <w:sz w:val="24"/>
          <w:szCs w:val="24"/>
        </w:rPr>
        <w:t xml:space="preserve">Mesianismul în Biblie</w:t>
      </w:r>
      <w:r>
        <w:rPr>
          <w:rFonts w:ascii="Gentium" w:hAnsi="Gentium" w:eastAsia="Gentium" w:cs="Gentium"/>
          <w:sz w:val="24"/>
          <w:szCs w:val="24"/>
        </w:rPr>
        <w:t xml:space="preserve"> (Iaşi: Polirom, 2003)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Popescu, I. M., </w:t>
      </w:r>
      <w:r>
        <w:rPr>
          <w:rFonts w:ascii="Gentium" w:hAnsi="Gentium" w:eastAsia="Gentium" w:cs="Gentium"/>
          <w:i/>
          <w:sz w:val="24"/>
          <w:szCs w:val="24"/>
        </w:rPr>
        <w:t xml:space="preserve">Istoria şi sociologia religiilor: Creştinismul</w:t>
      </w:r>
      <w:r>
        <w:rPr>
          <w:rFonts w:ascii="Gentium" w:hAnsi="Gentium" w:eastAsia="Gentium" w:cs="Gentium"/>
          <w:sz w:val="24"/>
          <w:szCs w:val="24"/>
        </w:rPr>
        <w:t xml:space="preserve">, Bucureşti: România de Mâine, 1996.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Ralph, P.M. şi Davids, P.H., </w:t>
      </w:r>
      <w:r>
        <w:rPr>
          <w:rFonts w:ascii="Gentium" w:hAnsi="Gentium" w:eastAsia="Gentium" w:cs="Gentium"/>
          <w:i/>
          <w:sz w:val="24"/>
          <w:szCs w:val="24"/>
        </w:rPr>
        <w:t xml:space="preserve">Dictionary of the Later New Testament &amp; Its Development. A Compendium of Biblical Scholarship</w:t>
      </w:r>
      <w:r>
        <w:rPr>
          <w:rFonts w:ascii="Gentium" w:hAnsi="Gentium" w:eastAsia="Gentium" w:cs="Gentium"/>
          <w:sz w:val="24"/>
          <w:szCs w:val="24"/>
        </w:rPr>
        <w:t xml:space="preserve"> (Leicester: InterVarsity Press, 1997)</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Rajak, T., “The Location of Cultures in Second Temple Palestine: The Evidence of Josephus,” in R. Bauckham (ed) </w:t>
      </w:r>
      <w:r>
        <w:rPr>
          <w:rFonts w:ascii="Gentium" w:hAnsi="Gentium" w:eastAsia="Gentium" w:cs="Gentium"/>
          <w:i/>
          <w:sz w:val="24"/>
          <w:szCs w:val="24"/>
        </w:rPr>
        <w:t xml:space="preserve">The Book of Acts in Its Palestinian Setting</w:t>
      </w:r>
      <w:r>
        <w:rPr>
          <w:rFonts w:ascii="Gentium" w:hAnsi="Gentium" w:eastAsia="Gentium" w:cs="Gentium"/>
          <w:sz w:val="24"/>
          <w:szCs w:val="24"/>
        </w:rPr>
        <w:t xml:space="preserve"> (Carlisle: Paternoster, 1995), 1–14</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Robbins, V.K., </w:t>
      </w:r>
      <w:r>
        <w:rPr>
          <w:rFonts w:ascii="Gentium" w:hAnsi="Gentium" w:eastAsia="Gentium" w:cs="Gentium"/>
          <w:i/>
          <w:sz w:val="24"/>
          <w:szCs w:val="24"/>
        </w:rPr>
        <w:t xml:space="preserve">The Tapestry of Early Christian Discourse. Rhetoric, Society and Ideology.</w:t>
      </w:r>
      <w:r>
        <w:rPr>
          <w:rFonts w:ascii="Gentium" w:hAnsi="Gentium" w:eastAsia="Gentium" w:cs="Gentium"/>
          <w:sz w:val="24"/>
          <w:szCs w:val="24"/>
        </w:rPr>
        <w:t xml:space="preserve"> (London: Routlege, 1996)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Romm, J.S, </w:t>
      </w:r>
      <w:r>
        <w:rPr>
          <w:rFonts w:ascii="Gentium" w:hAnsi="Gentium" w:eastAsia="Gentium" w:cs="Gentium"/>
          <w:i/>
          <w:sz w:val="24"/>
          <w:szCs w:val="24"/>
        </w:rPr>
        <w:t xml:space="preserve">The Edges of the Earth in Ancient Thought. Geography, Exploration, and Fiction</w:t>
      </w:r>
      <w:r>
        <w:rPr>
          <w:rFonts w:ascii="Gentium" w:hAnsi="Gentium" w:eastAsia="Gentium" w:cs="Gentium"/>
          <w:sz w:val="24"/>
          <w:szCs w:val="24"/>
        </w:rPr>
        <w:t xml:space="preserve"> (Princeton, New Jersey: Princeton University Press, 1992)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Romanato, G. Lombardo, M.G., Culianu, I.P., </w:t>
      </w:r>
      <w:r>
        <w:rPr>
          <w:rFonts w:ascii="Gentium" w:hAnsi="Gentium" w:eastAsia="Gentium" w:cs="Gentium"/>
          <w:i/>
          <w:sz w:val="24"/>
          <w:szCs w:val="24"/>
        </w:rPr>
        <w:t xml:space="preserve">Religie şi putere,</w:t>
      </w:r>
      <w:r>
        <w:rPr>
          <w:rFonts w:ascii="Gentium" w:hAnsi="Gentium" w:eastAsia="Gentium" w:cs="Gentium"/>
          <w:sz w:val="24"/>
          <w:szCs w:val="24"/>
        </w:rPr>
        <w:t xml:space="preserve"> M.-M. Anghelescu şi Ş. Anghelescu (trad), Iaşi: Polirom, 2005</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Rowland, C., </w:t>
      </w:r>
      <w:r>
        <w:rPr>
          <w:rFonts w:ascii="Gentium" w:hAnsi="Gentium" w:eastAsia="Gentium" w:cs="Gentium"/>
          <w:i/>
          <w:sz w:val="24"/>
          <w:szCs w:val="24"/>
        </w:rPr>
        <w:t xml:space="preserve">Christian Origins. An Account of the Setting and Characer of the Most Important Messianic Sect of Judaism</w:t>
      </w:r>
      <w:r>
        <w:rPr>
          <w:rFonts w:ascii="Gentium" w:hAnsi="Gentium" w:eastAsia="Gentium" w:cs="Gentium"/>
          <w:sz w:val="24"/>
          <w:szCs w:val="24"/>
        </w:rPr>
        <w:t xml:space="preserve"> (London: SPCK, 1985)</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Sanders, E.P., </w:t>
      </w:r>
      <w:r>
        <w:rPr>
          <w:rFonts w:ascii="Gentium" w:hAnsi="Gentium" w:eastAsia="Gentium" w:cs="Gentium"/>
          <w:i/>
          <w:sz w:val="24"/>
          <w:szCs w:val="24"/>
        </w:rPr>
        <w:t xml:space="preserve">Judaism. Practice and Belief. 63BCE – 66 CE</w:t>
      </w:r>
      <w:r>
        <w:rPr>
          <w:rFonts w:ascii="Gentium" w:hAnsi="Gentium" w:eastAsia="Gentium" w:cs="Gentium"/>
          <w:sz w:val="24"/>
          <w:szCs w:val="24"/>
        </w:rPr>
        <w:t xml:space="preserve"> (London: SCM, 1992)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_______, </w:t>
      </w:r>
      <w:r>
        <w:rPr>
          <w:rFonts w:ascii="Gentium" w:hAnsi="Gentium" w:eastAsia="Gentium" w:cs="Gentium"/>
          <w:i/>
          <w:sz w:val="24"/>
          <w:szCs w:val="24"/>
        </w:rPr>
        <w:t xml:space="preserve">Jesus and Judaism</w:t>
      </w:r>
      <w:r>
        <w:rPr>
          <w:rFonts w:ascii="Gentium" w:hAnsi="Gentium" w:eastAsia="Gentium" w:cs="Gentium"/>
          <w:sz w:val="24"/>
          <w:szCs w:val="24"/>
        </w:rPr>
        <w:t xml:space="preserve"> (London: SCM, 1985)</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Scott, P., şi Cavanaugh, W.T. (eds), </w:t>
      </w:r>
      <w:r>
        <w:rPr>
          <w:rFonts w:ascii="Gentium" w:hAnsi="Gentium" w:eastAsia="Gentium" w:cs="Gentium"/>
          <w:i/>
          <w:sz w:val="24"/>
          <w:szCs w:val="24"/>
        </w:rPr>
        <w:t xml:space="preserve">The Blackwell Companion to Political Theology</w:t>
      </w:r>
      <w:r>
        <w:rPr>
          <w:rFonts w:ascii="Gentium" w:hAnsi="Gentium" w:eastAsia="Gentium" w:cs="Gentium"/>
          <w:sz w:val="24"/>
          <w:szCs w:val="24"/>
        </w:rPr>
        <w:t xml:space="preserve"> (Blackwell Publishing, 2003)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Tenney, M.C., </w:t>
      </w:r>
      <w:r>
        <w:rPr>
          <w:rFonts w:ascii="Gentium" w:hAnsi="Gentium" w:eastAsia="Gentium" w:cs="Gentium"/>
          <w:i/>
          <w:sz w:val="24"/>
          <w:szCs w:val="24"/>
        </w:rPr>
        <w:t xml:space="preserve">Studiu al Noului Testament</w:t>
      </w:r>
      <w:r>
        <w:rPr>
          <w:rFonts w:ascii="Gentium" w:hAnsi="Gentium" w:eastAsia="Gentium" w:cs="Gentium"/>
          <w:sz w:val="24"/>
          <w:szCs w:val="24"/>
        </w:rPr>
        <w:t xml:space="preserve"> (Oradea: Cartea Creştină, 1986)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Theissen G., şi Merz, A., </w:t>
      </w:r>
      <w:r>
        <w:rPr>
          <w:rFonts w:ascii="Gentium" w:hAnsi="Gentium" w:eastAsia="Gentium" w:cs="Gentium"/>
          <w:i/>
          <w:sz w:val="24"/>
          <w:szCs w:val="24"/>
        </w:rPr>
        <w:t xml:space="preserve">The Historical Jesus. A Comprehensive Guide.</w:t>
      </w:r>
      <w:r>
        <w:rPr>
          <w:rFonts w:ascii="Gentium" w:hAnsi="Gentium" w:eastAsia="Gentium" w:cs="Gentium"/>
          <w:sz w:val="24"/>
          <w:szCs w:val="24"/>
        </w:rPr>
        <w:t xml:space="preserve"> (London: SCM Press, 1998)</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Tiede, D.L., “Acts 1:6–8 and the Theo-Political Claims of Christian Witness,” </w:t>
      </w:r>
      <w:r>
        <w:rPr>
          <w:rFonts w:ascii="Gentium" w:hAnsi="Gentium" w:eastAsia="Gentium" w:cs="Gentium"/>
          <w:i/>
          <w:sz w:val="24"/>
          <w:szCs w:val="24"/>
        </w:rPr>
        <w:t xml:space="preserve">Word and World</w:t>
      </w:r>
      <w:r>
        <w:rPr>
          <w:rFonts w:ascii="Gentium" w:hAnsi="Gentium" w:eastAsia="Gentium" w:cs="Gentium"/>
          <w:sz w:val="24"/>
          <w:szCs w:val="24"/>
        </w:rPr>
        <w:t xml:space="preserve"> 1 (1981): 41–51 </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Velasco, J.M., </w:t>
      </w:r>
      <w:r>
        <w:rPr>
          <w:rFonts w:ascii="Gentium" w:hAnsi="Gentium" w:eastAsia="Gentium" w:cs="Gentium"/>
          <w:i/>
          <w:sz w:val="24"/>
          <w:szCs w:val="24"/>
        </w:rPr>
        <w:t xml:space="preserve">Introducere în fenomenologia religiei,</w:t>
      </w:r>
      <w:r>
        <w:rPr>
          <w:rFonts w:ascii="Gentium" w:hAnsi="Gentium" w:eastAsia="Gentium" w:cs="Gentium"/>
          <w:sz w:val="24"/>
          <w:szCs w:val="24"/>
        </w:rPr>
        <w:t xml:space="preserve"> trad. C. Bădiliţă (Iaşi: Polirom, 1997)</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Walaskay, P.W., </w:t>
      </w:r>
      <w:r>
        <w:rPr>
          <w:rFonts w:ascii="Gentium" w:hAnsi="Gentium" w:eastAsia="Gentium" w:cs="Gentium"/>
          <w:i/>
          <w:sz w:val="24"/>
          <w:szCs w:val="24"/>
        </w:rPr>
        <w:t xml:space="preserve">“And So We Came To Rome”: The Political Perspective of St. Luke</w:t>
      </w:r>
      <w:r>
        <w:rPr>
          <w:rFonts w:ascii="Gentium" w:hAnsi="Gentium" w:eastAsia="Gentium" w:cs="Gentium"/>
          <w:sz w:val="24"/>
          <w:szCs w:val="24"/>
        </w:rPr>
        <w:t xml:space="preserve"> (Cambridge: CUP, 1983)</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Wilson, B., </w:t>
      </w:r>
      <w:r>
        <w:rPr>
          <w:rFonts w:ascii="Gentium" w:hAnsi="Gentium" w:eastAsia="Gentium" w:cs="Gentium"/>
          <w:i/>
          <w:sz w:val="24"/>
          <w:szCs w:val="24"/>
        </w:rPr>
        <w:t xml:space="preserve">Religia din perspectivă sociologică</w:t>
      </w:r>
      <w:r>
        <w:rPr>
          <w:rFonts w:ascii="Gentium" w:hAnsi="Gentium" w:eastAsia="Gentium" w:cs="Gentium"/>
          <w:sz w:val="24"/>
          <w:szCs w:val="24"/>
        </w:rPr>
        <w:t xml:space="preserve">, trad. D.M. Străinu (Bucureşti: Editura 3, 2000)</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t xml:space="preserve">Wright, N.T., </w:t>
      </w:r>
      <w:r>
        <w:rPr>
          <w:rFonts w:ascii="Gentium" w:hAnsi="Gentium" w:eastAsia="Gentium" w:cs="Gentium"/>
          <w:i/>
          <w:sz w:val="24"/>
          <w:szCs w:val="24"/>
        </w:rPr>
        <w:t xml:space="preserve">The New Testament and the People of God</w:t>
      </w:r>
      <w:r>
        <w:rPr>
          <w:rFonts w:ascii="Gentium" w:hAnsi="Gentium" w:eastAsia="Gentium" w:cs="Gentium"/>
          <w:sz w:val="24"/>
          <w:szCs w:val="24"/>
        </w:rPr>
        <w:t xml:space="preserve">, Christian Origins and the Question of God: Part I. (London: SPCK, 1992)</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i/>
          <w:sz w:val="24"/>
          <w:szCs w:val="24"/>
        </w:rPr>
        <w:t xml:space="preserve">_______,Jesus and the Victory of God, he New Testament and the People of God</w:t>
      </w:r>
      <w:r>
        <w:rPr>
          <w:rFonts w:ascii="Gentium" w:hAnsi="Gentium" w:eastAsia="Gentium" w:cs="Gentium"/>
          <w:sz w:val="24"/>
          <w:szCs w:val="24"/>
        </w:rPr>
        <w:t xml:space="preserve">, Christian Origins and the Question of God: Part II, (London: SPCK, 1996)</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lang w:eastAsia="en-US" w:bidi="he-IL"/>
        </w:rPr>
        <w:t xml:space="preserve">C</w:t>
      </w:r>
      <w:r>
        <w:rPr>
          <w:rFonts w:ascii="Gentium" w:hAnsi="Gentium" w:eastAsia="Gentium" w:cs="Gentium"/>
          <w:sz w:val="24"/>
          <w:szCs w:val="24"/>
          <w:lang w:eastAsia="en-US" w:bidi="he-IL"/>
        </w:rPr>
        <w:t xml:space="preserve">âteva din lucrările citate de studenţii la masterat TP, anul I:</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Bracher Dietrich Karl,</w:t>
      </w:r>
      <w:r>
        <w:rPr>
          <w:rFonts w:ascii="Gentium" w:hAnsi="Gentium" w:eastAsia="Gentium" w:cs="Gentium"/>
          <w:i/>
          <w:iCs/>
          <w:sz w:val="24"/>
          <w:szCs w:val="24"/>
          <w:lang w:eastAsia="en-US" w:bidi="he-IL"/>
        </w:rPr>
        <w:t xml:space="preserve"> </w:t>
      </w:r>
      <w:r>
        <w:rPr>
          <w:rFonts w:ascii="Gentium" w:hAnsi="Gentium" w:eastAsia="Gentium" w:cs="Gentium"/>
          <w:i/>
          <w:iCs/>
          <w:sz w:val="24"/>
          <w:szCs w:val="24"/>
          <w:lang w:eastAsia="en-US" w:bidi="he-IL"/>
        </w:rPr>
        <w:t xml:space="preserve">‘</w:t>
      </w:r>
      <w:r>
        <w:rPr>
          <w:rFonts w:ascii="Gentium" w:hAnsi="Gentium" w:eastAsia="Gentium" w:cs="Gentium"/>
          <w:sz w:val="24"/>
          <w:szCs w:val="24"/>
          <w:lang w:eastAsia="en-US" w:bidi="he-IL"/>
        </w:rPr>
        <w:t xml:space="preserve">National Socialism, Fascism and authoritarian regimes</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 in Hans Maie</w:t>
      </w:r>
      <w:r>
        <w:rPr>
          <w:rFonts w:ascii="Gentium" w:hAnsi="Gentium" w:eastAsia="Gentium" w:cs="Gentium"/>
          <w:sz w:val="24"/>
          <w:szCs w:val="24"/>
          <w:lang w:eastAsia="en-US" w:bidi="he-IL"/>
        </w:rPr>
        <w:t xml:space="preserve">r</w:t>
      </w:r>
      <w:r>
        <w:rPr>
          <w:rFonts w:ascii="Gentium" w:hAnsi="Gentium" w:eastAsia="Gentium" w:cs="Gentium"/>
          <w:sz w:val="24"/>
          <w:szCs w:val="24"/>
          <w:lang w:eastAsia="en-US" w:bidi="he-IL"/>
        </w:rPr>
        <w:t xml:space="preserve"> (ed.)</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Totalitarianism and Political Religions</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v</w:t>
      </w:r>
      <w:r>
        <w:rPr>
          <w:rFonts w:ascii="Gentium" w:hAnsi="Gentium" w:eastAsia="Gentium" w:cs="Gentium"/>
          <w:sz w:val="24"/>
          <w:szCs w:val="24"/>
          <w:lang w:eastAsia="en-US" w:bidi="he-IL"/>
        </w:rPr>
        <w:t xml:space="preserve">olume I: </w:t>
      </w:r>
      <w:r>
        <w:rPr>
          <w:rFonts w:ascii="Gentium" w:hAnsi="Gentium" w:eastAsia="Gentium" w:cs="Gentium"/>
          <w:sz w:val="24"/>
          <w:szCs w:val="24"/>
          <w:lang w:eastAsia="en-US" w:bidi="he-IL"/>
        </w:rPr>
        <w:t xml:space="preserve">C</w:t>
      </w:r>
      <w:r>
        <w:rPr>
          <w:rFonts w:ascii="Gentium" w:hAnsi="Gentium" w:eastAsia="Gentium" w:cs="Gentium"/>
          <w:sz w:val="24"/>
          <w:szCs w:val="24"/>
          <w:lang w:eastAsia="en-US" w:bidi="he-IL"/>
        </w:rPr>
        <w:t xml:space="preserve">oncepts for the comparison of dictatorships</w:t>
      </w:r>
      <w:r>
        <w:rPr>
          <w:rFonts w:ascii="Gentium" w:hAnsi="Gentium" w:eastAsia="Gentium" w:cs="Gentium"/>
          <w:sz w:val="24"/>
          <w:szCs w:val="24"/>
          <w:lang w:eastAsia="en-US" w:bidi="he-IL"/>
        </w:rPr>
        <w:t xml:space="preserve">, t</w:t>
      </w:r>
      <w:r>
        <w:rPr>
          <w:rFonts w:ascii="Gentium" w:hAnsi="Gentium" w:eastAsia="Gentium" w:cs="Gentium"/>
          <w:sz w:val="24"/>
          <w:szCs w:val="24"/>
          <w:lang w:eastAsia="en-US" w:bidi="he-IL"/>
        </w:rPr>
        <w:t xml:space="preserve">ranslated by Jodi Bruhn pp. 295- 317 Routledge Taylor &amp; Francis Group, London and New-York, 1996</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Osiander Andreas, </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Religion and Politics in Western Civilisation: The Ancient World as Matrix and Mirror of the Modern, in Millennium</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Journal of International Studies</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2000; 29; pp. 761-790</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Scorpan Constantin, </w:t>
      </w:r>
      <w:r>
        <w:rPr>
          <w:rFonts w:ascii="Gentium" w:hAnsi="Gentium" w:eastAsia="Gentium" w:cs="Gentium"/>
          <w:i/>
          <w:iCs/>
          <w:sz w:val="24"/>
          <w:szCs w:val="24"/>
          <w:lang w:eastAsia="en-US" w:bidi="he-IL"/>
        </w:rPr>
        <w:t xml:space="preserve">Istoria României. Enciclopedia comparată a istoriei politice a românilor</w:t>
      </w:r>
      <w:r>
        <w:rPr>
          <w:rFonts w:ascii="Gentium" w:hAnsi="Gentium" w:eastAsia="Gentium" w:cs="Gentium"/>
          <w:sz w:val="24"/>
          <w:szCs w:val="24"/>
          <w:lang w:eastAsia="en-US" w:bidi="he-IL"/>
        </w:rPr>
        <w:t xml:space="preserve">, Ed. Nemira, Bucureşti, 1997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Stout Daniel A., </w:t>
      </w:r>
      <w:r>
        <w:rPr>
          <w:rFonts w:ascii="Gentium" w:hAnsi="Gentium" w:eastAsia="Gentium" w:cs="Gentium"/>
          <w:sz w:val="24"/>
          <w:szCs w:val="24"/>
          <w:lang w:eastAsia="en-US" w:bidi="he-IL"/>
        </w:rPr>
        <w:t xml:space="preserve">ed.</w:t>
      </w:r>
      <w:r>
        <w:rPr>
          <w:rFonts w:ascii="Gentium" w:hAnsi="Gentium" w:eastAsia="Gentium" w:cs="Gentium"/>
          <w:sz w:val="24"/>
          <w:szCs w:val="24"/>
          <w:lang w:eastAsia="en-US" w:bidi="he-IL"/>
        </w:rPr>
        <w:t xml:space="preserve"> </w:t>
      </w:r>
      <w:r>
        <w:rPr>
          <w:rFonts w:ascii="Gentium" w:hAnsi="Gentium" w:eastAsia="Gentium" w:cs="Gentium"/>
          <w:i/>
          <w:iCs/>
          <w:sz w:val="24"/>
          <w:szCs w:val="24"/>
          <w:lang w:eastAsia="en-US" w:bidi="he-IL"/>
        </w:rPr>
        <w:t xml:space="preserve">Religion and Society, A Berkshire Reference Work</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 Routledge New York, London 2006</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Vondung Klaus, ‘Religious faith’ in National Socialism, in Totalitarianism and Political Religions</w:t>
      </w:r>
      <w:r>
        <w:rPr>
          <w:rFonts w:ascii="Gentium" w:hAnsi="Gentium" w:eastAsia="Gentium" w:cs="Gentium"/>
          <w:sz w:val="24"/>
          <w:szCs w:val="24"/>
          <w:lang w:eastAsia="en-US" w:bidi="he-IL"/>
        </w:rPr>
        <w:t xml:space="preserve">, v</w:t>
      </w:r>
      <w:r>
        <w:rPr>
          <w:rFonts w:ascii="Gentium" w:hAnsi="Gentium" w:eastAsia="Gentium" w:cs="Gentium"/>
          <w:sz w:val="24"/>
          <w:szCs w:val="24"/>
          <w:lang w:eastAsia="en-US" w:bidi="he-IL"/>
        </w:rPr>
        <w:t xml:space="preserve">olume II</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 Concepts for th</w:t>
      </w:r>
      <w:r>
        <w:rPr>
          <w:rFonts w:ascii="Gentium" w:hAnsi="Gentium" w:eastAsia="Gentium" w:cs="Gentium"/>
          <w:sz w:val="24"/>
          <w:szCs w:val="24"/>
          <w:lang w:eastAsia="en-US" w:bidi="he-IL"/>
        </w:rPr>
        <w:t xml:space="preserve">e comparison of dictatorships, e</w:t>
      </w:r>
      <w:r>
        <w:rPr>
          <w:rFonts w:ascii="Gentium" w:hAnsi="Gentium" w:eastAsia="Gentium" w:cs="Gentium"/>
          <w:sz w:val="24"/>
          <w:szCs w:val="24"/>
          <w:lang w:eastAsia="en-US" w:bidi="he-IL"/>
        </w:rPr>
        <w:t xml:space="preserve">dited by Hans Maier and Michael Schaefer, translated by Jodi Bruhn, pp. 5 -18</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Berdiaev, Nicolai, </w:t>
      </w:r>
      <w:r>
        <w:rPr>
          <w:rFonts w:ascii="Gentium" w:hAnsi="Gentium" w:eastAsia="Gentium" w:cs="Gentium"/>
          <w:i/>
          <w:iCs/>
          <w:sz w:val="24"/>
          <w:szCs w:val="24"/>
        </w:rPr>
        <w:t xml:space="preserve">Împ</w:t>
      </w:r>
      <w:r>
        <w:rPr>
          <w:rFonts w:ascii="Gentium" w:hAnsi="Gentium" w:eastAsia="Gentium" w:cs="Gentium"/>
          <w:i/>
          <w:iCs/>
          <w:sz w:val="24"/>
          <w:szCs w:val="24"/>
          <w:lang w:bidi="he-IL"/>
        </w:rPr>
        <w:t xml:space="preserve">ărăţia lui </w:t>
      </w:r>
      <w:r>
        <w:rPr>
          <w:rFonts w:ascii="Gentium" w:hAnsi="Gentium" w:eastAsia="Gentium" w:cs="Gentium"/>
          <w:i/>
          <w:iCs/>
          <w:sz w:val="24"/>
          <w:szCs w:val="24"/>
        </w:rPr>
        <w:t xml:space="preserve">Dumnezeu </w:t>
      </w:r>
      <w:r>
        <w:rPr>
          <w:rFonts w:ascii="Gentium" w:hAnsi="Gentium" w:eastAsia="Gentium" w:cs="Gentium"/>
          <w:i/>
          <w:iCs/>
          <w:sz w:val="24"/>
          <w:szCs w:val="24"/>
        </w:rPr>
        <w:t xml:space="preserve">şi Împărăţia</w:t>
      </w:r>
      <w:r>
        <w:rPr>
          <w:rFonts w:ascii="Gentium" w:hAnsi="Gentium" w:eastAsia="Gentium" w:cs="Gentium"/>
          <w:i/>
          <w:iCs/>
          <w:sz w:val="24"/>
          <w:szCs w:val="24"/>
        </w:rPr>
        <w:t xml:space="preserve"> Cezarului</w:t>
      </w:r>
      <w:r>
        <w:rPr>
          <w:rFonts w:ascii="Gentium" w:hAnsi="Gentium" w:eastAsia="Gentium" w:cs="Gentium"/>
          <w:sz w:val="24"/>
          <w:szCs w:val="24"/>
        </w:rPr>
        <w:t xml:space="preserve">, trad. Nina Nicolaeva, Humanitas, Bucuresti, 1998;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Bossuet, Jacques-Bénigne, “Discours sur l’histoire universelle”,</w:t>
      </w:r>
      <w:r>
        <w:rPr>
          <w:rFonts w:ascii="Gentium" w:hAnsi="Gentium" w:eastAsia="Gentium" w:cs="Gentium"/>
          <w:sz w:val="24"/>
          <w:szCs w:val="24"/>
        </w:rPr>
        <w:fldChar w:fldCharType="begin"/>
      </w:r>
      <w:r>
        <w:rPr>
          <w:rFonts w:ascii="Gentium" w:hAnsi="Gentium" w:eastAsia="Gentium" w:cs="Gentium"/>
          <w:sz w:val="24"/>
          <w:szCs w:val="24"/>
        </w:rPr>
        <w:instrText xml:space="preserve"> HYPERLINK "http://www.samizdat.qc.ca/cosmos/sc_soc/histoire/" </w:instrText>
      </w:r>
      <w:r>
        <w:rPr>
          <w:rFonts w:ascii="Gentium" w:hAnsi="Gentium" w:eastAsia="Gentium" w:cs="Gentium"/>
          <w:sz w:val="24"/>
          <w:szCs w:val="24"/>
        </w:rPr>
        <w:fldChar w:fldCharType="separate"/>
      </w:r>
      <w:r>
        <w:rPr>
          <w:rStyle w:val="1784"/>
          <w:rFonts w:ascii="Gentium" w:hAnsi="Gentium" w:eastAsia="Gentium" w:cs="Gentium"/>
          <w:sz w:val="24"/>
          <w:szCs w:val="24"/>
        </w:rPr>
        <w:t xml:space="preserve">http://www.samizdat.qc.ca/cosmos/sc_soc/histoire/</w:t>
      </w:r>
      <w:r>
        <w:rPr>
          <w:rFonts w:ascii="Gentium" w:hAnsi="Gentium" w:eastAsia="Gentium" w:cs="Gentium"/>
          <w:sz w:val="24"/>
          <w:szCs w:val="24"/>
        </w:rPr>
        <w:fldChar w:fldCharType="end"/>
      </w:r>
      <w:r>
        <w:rPr>
          <w:rFonts w:ascii="Gentium" w:hAnsi="Gentium" w:eastAsia="Gentium" w:cs="Gentium"/>
          <w:sz w:val="24"/>
          <w:szCs w:val="24"/>
        </w:rPr>
        <w:t xml:space="preserve"> hist_med/hist_universel.pdf, 23.10.2008;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Eslin, Jean-Claude, </w:t>
      </w:r>
      <w:r>
        <w:rPr>
          <w:rFonts w:ascii="Gentium" w:hAnsi="Gentium" w:eastAsia="Gentium" w:cs="Gentium"/>
          <w:i/>
          <w:iCs/>
          <w:sz w:val="24"/>
          <w:szCs w:val="24"/>
        </w:rPr>
        <w:t xml:space="preserve">Dumnezeu </w:t>
      </w:r>
      <w:r>
        <w:rPr>
          <w:rFonts w:ascii="Gentium" w:hAnsi="Gentium" w:eastAsia="Gentium" w:cs="Gentium"/>
          <w:i/>
          <w:iCs/>
          <w:sz w:val="24"/>
          <w:szCs w:val="24"/>
        </w:rPr>
        <w:t xml:space="preserve">şi puterea</w:t>
      </w:r>
      <w:r>
        <w:rPr>
          <w:rFonts w:ascii="Gentium" w:hAnsi="Gentium" w:eastAsia="Gentium" w:cs="Gentium"/>
          <w:sz w:val="24"/>
          <w:szCs w:val="24"/>
        </w:rPr>
        <w:t xml:space="preserve">,</w:t>
      </w:r>
      <w:r>
        <w:rPr>
          <w:rFonts w:ascii="Gentium" w:hAnsi="Gentium" w:eastAsia="Gentium" w:cs="Gentium"/>
          <w:sz w:val="24"/>
          <w:szCs w:val="24"/>
        </w:rPr>
        <w:t xml:space="preserve"> traducere de Tatiana Petrache </w:t>
      </w:r>
      <w:r>
        <w:rPr>
          <w:rFonts w:ascii="Gentium" w:hAnsi="Gentium" w:eastAsia="Gentium" w:cs="Gentium"/>
          <w:sz w:val="24"/>
          <w:szCs w:val="24"/>
        </w:rPr>
        <w:t xml:space="preserve">şi</w:t>
      </w:r>
      <w:r>
        <w:rPr>
          <w:rFonts w:ascii="Gentium" w:hAnsi="Gentium" w:eastAsia="Gentium" w:cs="Gentium"/>
          <w:sz w:val="24"/>
          <w:szCs w:val="24"/>
        </w:rPr>
        <w:t xml:space="preserve"> Irina Floa</w:t>
      </w:r>
      <w:r>
        <w:rPr>
          <w:rFonts w:ascii="Gentium" w:hAnsi="Gentium" w:eastAsia="Gentium" w:cs="Gentium"/>
          <w:sz w:val="24"/>
          <w:szCs w:val="24"/>
        </w:rPr>
        <w:t xml:space="preserve">re, Anastasia, Bucuresti, 2001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Gauchet, Marcel, </w:t>
      </w:r>
      <w:r>
        <w:rPr>
          <w:rFonts w:ascii="Gentium" w:hAnsi="Gentium" w:eastAsia="Gentium" w:cs="Gentium"/>
          <w:i/>
          <w:iCs/>
          <w:sz w:val="24"/>
          <w:szCs w:val="24"/>
        </w:rPr>
        <w:t xml:space="preserve">Dezvr</w:t>
      </w:r>
      <w:r>
        <w:rPr>
          <w:rFonts w:ascii="Gentium" w:hAnsi="Gentium" w:eastAsia="Gentium" w:cs="Gentium"/>
          <w:i/>
          <w:iCs/>
          <w:sz w:val="24"/>
          <w:szCs w:val="24"/>
        </w:rPr>
        <w:t xml:space="preserve">ă</w:t>
      </w:r>
      <w:r>
        <w:rPr>
          <w:rFonts w:ascii="Gentium" w:hAnsi="Gentium" w:eastAsia="Gentium" w:cs="Gentium"/>
          <w:i/>
          <w:iCs/>
          <w:sz w:val="24"/>
          <w:szCs w:val="24"/>
        </w:rPr>
        <w:t xml:space="preserve">jirea lumii</w:t>
      </w:r>
      <w:r>
        <w:rPr>
          <w:rFonts w:ascii="Gentium" w:hAnsi="Gentium" w:eastAsia="Gentium" w:cs="Gentium"/>
          <w:sz w:val="24"/>
          <w:szCs w:val="24"/>
        </w:rPr>
        <w:t xml:space="preserve">, trad. Vasile Tonoiu, Editura </w:t>
      </w:r>
      <w:r>
        <w:rPr>
          <w:rFonts w:ascii="Gentium" w:hAnsi="Gentium" w:eastAsia="Gentium" w:cs="Gentium"/>
          <w:sz w:val="24"/>
          <w:szCs w:val="24"/>
        </w:rPr>
        <w:t xml:space="preserve">Ştiinţifică</w:t>
      </w:r>
      <w:r>
        <w:rPr>
          <w:rFonts w:ascii="Gentium" w:hAnsi="Gentium" w:eastAsia="Gentium" w:cs="Gentium"/>
          <w:sz w:val="24"/>
          <w:szCs w:val="24"/>
        </w:rPr>
        <w:t xml:space="preserve">, Bucuresti, 1995;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Mannent, Pierre, </w:t>
      </w:r>
      <w:r>
        <w:rPr>
          <w:rFonts w:ascii="Gentium" w:hAnsi="Gentium" w:eastAsia="Gentium" w:cs="Gentium"/>
          <w:i/>
          <w:iCs/>
          <w:sz w:val="24"/>
          <w:szCs w:val="24"/>
        </w:rPr>
        <w:t xml:space="preserve">O filozofie politic</w:t>
      </w:r>
      <w:r>
        <w:rPr>
          <w:rFonts w:ascii="Gentium" w:hAnsi="Gentium" w:eastAsia="Gentium" w:cs="Gentium"/>
          <w:i/>
          <w:iCs/>
          <w:sz w:val="24"/>
          <w:szCs w:val="24"/>
        </w:rPr>
        <w:t xml:space="preserve">ă pentru </w:t>
      </w:r>
      <w:r>
        <w:rPr>
          <w:rFonts w:ascii="Gentium" w:hAnsi="Gentium" w:eastAsia="Gentium" w:cs="Gentium"/>
          <w:i/>
          <w:iCs/>
          <w:sz w:val="24"/>
          <w:szCs w:val="24"/>
        </w:rPr>
        <w:t xml:space="preserve">cet</w:t>
      </w:r>
      <w:r>
        <w:rPr>
          <w:rFonts w:ascii="Gentium" w:hAnsi="Gentium" w:eastAsia="Gentium" w:cs="Gentium"/>
          <w:i/>
          <w:iCs/>
          <w:sz w:val="24"/>
          <w:szCs w:val="24"/>
        </w:rPr>
        <w:t xml:space="preserve">ăţean</w:t>
      </w:r>
      <w:r>
        <w:rPr>
          <w:rFonts w:ascii="Gentium" w:hAnsi="Gentium" w:eastAsia="Gentium" w:cs="Gentium"/>
          <w:sz w:val="24"/>
          <w:szCs w:val="24"/>
        </w:rPr>
        <w:t xml:space="preserve">, traducere de Mona Antohi, Humanitas,Bucuresti, 2003;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Plant, Raymond, </w:t>
      </w:r>
      <w:r>
        <w:rPr>
          <w:rFonts w:ascii="Gentium" w:hAnsi="Gentium" w:eastAsia="Gentium" w:cs="Gentium"/>
          <w:i/>
          <w:iCs/>
          <w:sz w:val="24"/>
          <w:szCs w:val="24"/>
        </w:rPr>
        <w:t xml:space="preserve">Politics, Theology and History</w:t>
      </w:r>
      <w:r>
        <w:rPr>
          <w:rFonts w:ascii="Gentium" w:hAnsi="Gentium" w:eastAsia="Gentium" w:cs="Gentium"/>
          <w:sz w:val="24"/>
          <w:szCs w:val="24"/>
        </w:rPr>
        <w:t xml:space="preserve">, Cambridge University Press, 2001;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Sab</w:t>
      </w:r>
      <w:r>
        <w:rPr>
          <w:rFonts w:ascii="Gentium" w:hAnsi="Gentium" w:eastAsia="Gentium" w:cs="Gentium"/>
          <w:sz w:val="24"/>
          <w:szCs w:val="24"/>
        </w:rPr>
        <w:t xml:space="preserve">ă</w:t>
      </w:r>
      <w:r>
        <w:rPr>
          <w:rFonts w:ascii="Gentium" w:hAnsi="Gentium" w:eastAsia="Gentium" w:cs="Gentium"/>
          <w:sz w:val="24"/>
          <w:szCs w:val="24"/>
        </w:rPr>
        <w:t xml:space="preserve">u, Gelu, </w:t>
      </w:r>
      <w:r>
        <w:rPr>
          <w:rFonts w:ascii="Gentium" w:hAnsi="Gentium" w:eastAsia="Gentium" w:cs="Gentium"/>
          <w:sz w:val="24"/>
          <w:szCs w:val="24"/>
        </w:rPr>
        <w:t xml:space="preserve">‚</w:t>
      </w:r>
      <w:r>
        <w:rPr>
          <w:rFonts w:ascii="Gentium" w:hAnsi="Gentium" w:eastAsia="Gentium" w:cs="Gentium"/>
          <w:sz w:val="24"/>
          <w:szCs w:val="24"/>
        </w:rPr>
        <w:t xml:space="preserve">Ie</w:t>
      </w:r>
      <w:r>
        <w:rPr>
          <w:rFonts w:ascii="Gentium" w:hAnsi="Gentium" w:eastAsia="Gentium" w:cs="Gentium"/>
          <w:sz w:val="24"/>
          <w:szCs w:val="24"/>
        </w:rPr>
        <w:t xml:space="preserve">ş</w:t>
      </w:r>
      <w:r>
        <w:rPr>
          <w:rFonts w:ascii="Gentium" w:hAnsi="Gentium" w:eastAsia="Gentium" w:cs="Gentium"/>
          <w:sz w:val="24"/>
          <w:szCs w:val="24"/>
        </w:rPr>
        <w:t xml:space="preserve">irea din religie</w:t>
      </w:r>
      <w:r>
        <w:rPr>
          <w:rFonts w:ascii="Gentium" w:hAnsi="Gentium" w:eastAsia="Gentium" w:cs="Gentium"/>
          <w:sz w:val="24"/>
          <w:szCs w:val="24"/>
        </w:rPr>
        <w:t xml:space="preserve">’</w:t>
      </w:r>
      <w:r>
        <w:rPr>
          <w:rFonts w:ascii="Gentium" w:hAnsi="Gentium" w:eastAsia="Gentium" w:cs="Gentium"/>
          <w:sz w:val="24"/>
          <w:szCs w:val="24"/>
        </w:rPr>
        <w:t xml:space="preserve">, în Idei în Dialog, nr. 3(30)-martie 2007, </w:t>
      </w:r>
      <w:r>
        <w:rPr>
          <w:rFonts w:ascii="Gentium" w:hAnsi="Gentium" w:eastAsia="Gentium" w:cs="Gentium"/>
          <w:sz w:val="24"/>
          <w:szCs w:val="24"/>
        </w:rPr>
        <w:fldChar w:fldCharType="begin"/>
      </w:r>
      <w:r>
        <w:rPr>
          <w:rFonts w:ascii="Gentium" w:hAnsi="Gentium" w:eastAsia="Gentium" w:cs="Gentium"/>
          <w:sz w:val="24"/>
          <w:szCs w:val="24"/>
        </w:rPr>
        <w:instrText xml:space="preserve"> HYPERLINK "http://www.ideiindialog.ro/" </w:instrText>
      </w:r>
      <w:r>
        <w:rPr>
          <w:rFonts w:ascii="Gentium" w:hAnsi="Gentium" w:eastAsia="Gentium" w:cs="Gentium"/>
          <w:sz w:val="24"/>
          <w:szCs w:val="24"/>
        </w:rPr>
        <w:fldChar w:fldCharType="separate"/>
      </w:r>
      <w:r>
        <w:rPr>
          <w:rStyle w:val="1784"/>
          <w:rFonts w:ascii="Gentium" w:hAnsi="Gentium" w:eastAsia="Gentium" w:cs="Gentium"/>
          <w:sz w:val="24"/>
          <w:szCs w:val="24"/>
        </w:rPr>
        <w:t xml:space="preserve">http://www.ideiindialog.ro/</w:t>
      </w:r>
      <w:r>
        <w:rPr>
          <w:rFonts w:ascii="Gentium" w:hAnsi="Gentium" w:eastAsia="Gentium" w:cs="Gentium"/>
          <w:sz w:val="24"/>
          <w:szCs w:val="24"/>
        </w:rPr>
        <w:fldChar w:fldCharType="end"/>
      </w:r>
      <w:r>
        <w:rPr>
          <w:rFonts w:ascii="Gentium" w:hAnsi="Gentium" w:eastAsia="Gentium" w:cs="Gentium"/>
          <w:sz w:val="24"/>
          <w:szCs w:val="24"/>
        </w:rPr>
        <w:t xml:space="preserve">files/</w:t>
      </w:r>
      <w:r>
        <w:rPr>
          <w:rFonts w:ascii="Gentium" w:hAnsi="Gentium" w:eastAsia="Gentium" w:cs="Gentium"/>
          <w:sz w:val="24"/>
          <w:szCs w:val="24"/>
        </w:rPr>
        <w:t xml:space="preserve"> </w:t>
      </w:r>
      <w:r>
        <w:rPr>
          <w:rFonts w:ascii="Gentium" w:hAnsi="Gentium" w:eastAsia="Gentium" w:cs="Gentium"/>
          <w:sz w:val="24"/>
          <w:szCs w:val="24"/>
        </w:rPr>
        <w:t xml:space="preserve">Martie_2007.pdf, 04.01.2009;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Staniloae, Dumitru, </w:t>
      </w:r>
      <w:r>
        <w:rPr>
          <w:rFonts w:ascii="Gentium" w:hAnsi="Gentium" w:eastAsia="Gentium" w:cs="Gentium"/>
          <w:i/>
          <w:iCs/>
          <w:sz w:val="24"/>
          <w:szCs w:val="24"/>
        </w:rPr>
        <w:t xml:space="preserve">Ortodoxie </w:t>
      </w:r>
      <w:r>
        <w:rPr>
          <w:rFonts w:ascii="Gentium" w:hAnsi="Gentium" w:eastAsia="Gentium" w:cs="Gentium"/>
          <w:i/>
          <w:iCs/>
          <w:sz w:val="24"/>
          <w:szCs w:val="24"/>
        </w:rPr>
        <w:t xml:space="preserve">ş</w:t>
      </w:r>
      <w:r>
        <w:rPr>
          <w:rFonts w:ascii="Gentium" w:hAnsi="Gentium" w:eastAsia="Gentium" w:cs="Gentium"/>
          <w:i/>
          <w:iCs/>
          <w:sz w:val="24"/>
          <w:szCs w:val="24"/>
        </w:rPr>
        <w:t xml:space="preserve">i românism</w:t>
      </w:r>
      <w:r>
        <w:rPr>
          <w:rFonts w:ascii="Gentium" w:hAnsi="Gentium" w:eastAsia="Gentium" w:cs="Gentium"/>
          <w:sz w:val="24"/>
          <w:szCs w:val="24"/>
        </w:rPr>
        <w:t xml:space="preserve">, editia a II-a, Editura  </w:t>
      </w:r>
      <w:r>
        <w:rPr>
          <w:rFonts w:ascii="Gentium" w:hAnsi="Gentium" w:eastAsia="Gentium" w:cs="Gentium"/>
          <w:sz w:val="24"/>
          <w:szCs w:val="24"/>
        </w:rPr>
        <w:t xml:space="preserve">Albatros, Bucuresti, 1998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lang w:eastAsia="en-US" w:bidi="he-IL"/>
        </w:rPr>
        <w:t xml:space="preserve">BACONSKI, Theodor, ‘</w:t>
      </w:r>
      <w:r>
        <w:rPr>
          <w:rFonts w:ascii="Gentium" w:hAnsi="Gentium" w:eastAsia="Gentium" w:cs="Gentium"/>
          <w:sz w:val="24"/>
          <w:szCs w:val="24"/>
          <w:lang w:eastAsia="en-US" w:bidi="he-IL"/>
        </w:rPr>
        <w:t xml:space="preserve">Ortodoxismul politic. Pericol sau fantasm</w:t>
      </w:r>
      <w:r>
        <w:rPr>
          <w:rFonts w:ascii="Gentium" w:hAnsi="Gentium" w:eastAsia="Gentium" w:cs="Gentium"/>
          <w:sz w:val="24"/>
          <w:szCs w:val="24"/>
          <w:lang w:eastAsia="en-US" w:bidi="he-IL"/>
        </w:rPr>
        <w:t xml:space="preserve">ă</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 în Alina MUNGIU PIPPIDI, Doctrine politice. Concepte universale </w:t>
      </w:r>
      <w:r>
        <w:rPr>
          <w:rFonts w:ascii="Gentium" w:hAnsi="Gentium" w:eastAsia="Gentium" w:cs="Gentium"/>
          <w:sz w:val="24"/>
          <w:szCs w:val="24"/>
          <w:lang w:eastAsia="en-US" w:bidi="he-IL"/>
        </w:rPr>
        <w:t xml:space="preserve">şi realităţi româneşti</w:t>
      </w:r>
      <w:r>
        <w:rPr>
          <w:rFonts w:ascii="Gentium" w:hAnsi="Gentium" w:eastAsia="Gentium" w:cs="Gentium"/>
          <w:sz w:val="24"/>
          <w:szCs w:val="24"/>
          <w:lang w:eastAsia="en-US" w:bidi="he-IL"/>
        </w:rPr>
        <w:t xml:space="preserve">, Editura Polirom, Ia</w:t>
      </w:r>
      <w:r>
        <w:rPr>
          <w:rFonts w:ascii="Gentium" w:hAnsi="Gentium" w:eastAsia="Gentium" w:cs="Gentium"/>
          <w:sz w:val="24"/>
          <w:szCs w:val="24"/>
          <w:lang w:eastAsia="en-US" w:bidi="he-IL"/>
        </w:rPr>
        <w:t xml:space="preserve">ş</w:t>
      </w:r>
      <w:r>
        <w:rPr>
          <w:rFonts w:ascii="Gentium" w:hAnsi="Gentium" w:eastAsia="Gentium" w:cs="Gentium"/>
          <w:sz w:val="24"/>
          <w:szCs w:val="24"/>
          <w:lang w:eastAsia="en-US" w:bidi="he-IL"/>
        </w:rPr>
        <w:t xml:space="preserve">i,1998</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CARAGOUNIS, C.C., ‘</w:t>
      </w:r>
      <w:r>
        <w:rPr>
          <w:rFonts w:ascii="Gentium" w:hAnsi="Gentium" w:eastAsia="Gentium" w:cs="Gentium"/>
          <w:sz w:val="24"/>
          <w:szCs w:val="24"/>
          <w:lang w:eastAsia="en-US" w:bidi="he-IL"/>
        </w:rPr>
        <w:t xml:space="preserve">Ki</w:t>
      </w:r>
      <w:r>
        <w:rPr>
          <w:rFonts w:ascii="Gentium" w:hAnsi="Gentium" w:eastAsia="Gentium" w:cs="Gentium"/>
          <w:sz w:val="24"/>
          <w:szCs w:val="24"/>
          <w:lang w:eastAsia="en-US" w:bidi="he-IL"/>
        </w:rPr>
        <w:t xml:space="preserve">ngdom of God, Kingdom of Heaven’</w:t>
      </w:r>
      <w:r>
        <w:rPr>
          <w:rFonts w:ascii="Gentium" w:hAnsi="Gentium" w:eastAsia="Gentium" w:cs="Gentium"/>
          <w:sz w:val="24"/>
          <w:szCs w:val="24"/>
          <w:lang w:eastAsia="en-US" w:bidi="he-IL"/>
        </w:rPr>
        <w:t xml:space="preserve"> în J.B. GREEN, S.McKNIGHT </w:t>
      </w:r>
      <w:r>
        <w:rPr>
          <w:rFonts w:ascii="Gentium" w:hAnsi="Gentium" w:eastAsia="Gentium" w:cs="Gentium"/>
          <w:sz w:val="24"/>
          <w:szCs w:val="24"/>
          <w:lang w:eastAsia="en-US" w:bidi="he-IL"/>
        </w:rPr>
        <w:t xml:space="preserve">s</w:t>
      </w:r>
      <w:r>
        <w:rPr>
          <w:rFonts w:ascii="Gentium" w:hAnsi="Gentium" w:eastAsia="Gentium" w:cs="Gentium"/>
          <w:sz w:val="24"/>
          <w:szCs w:val="24"/>
          <w:lang w:eastAsia="en-US" w:bidi="he-IL"/>
        </w:rPr>
        <w:t xml:space="preserve">i I.H. MARSHALL, Dictionary of Jesus and the Gospels, Downers Grove, Intervarsity Press, 1992</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CLOWNEY, E.P., ‘The Politics of the Kingdom’</w:t>
      </w:r>
      <w:r>
        <w:rPr>
          <w:rFonts w:ascii="Gentium" w:hAnsi="Gentium" w:eastAsia="Gentium" w:cs="Gentium"/>
          <w:sz w:val="24"/>
          <w:szCs w:val="24"/>
          <w:lang w:eastAsia="en-US" w:bidi="he-IL"/>
        </w:rPr>
        <w:t xml:space="preserve"> în Westminster Theological Journal, Spring, 1979</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KIM, S., ‘Kingdom of God’</w:t>
      </w:r>
      <w:r>
        <w:rPr>
          <w:rFonts w:ascii="Gentium" w:hAnsi="Gentium" w:eastAsia="Gentium" w:cs="Gentium"/>
          <w:sz w:val="24"/>
          <w:szCs w:val="24"/>
          <w:lang w:eastAsia="en-US" w:bidi="he-IL"/>
        </w:rPr>
        <w:t xml:space="preserve"> în Ralph. P. MARTIN, Peter H. DAVIDS, Dictionary of the later New Testament and its developments (electronic edition), Downers Grove, 1997, Intervarsity Press</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MAIER, Hans, ‘</w:t>
      </w:r>
      <w:r>
        <w:rPr>
          <w:rFonts w:ascii="Gentium" w:hAnsi="Gentium" w:eastAsia="Gentium" w:cs="Gentium"/>
          <w:sz w:val="24"/>
          <w:szCs w:val="24"/>
          <w:lang w:eastAsia="en-US" w:bidi="he-IL"/>
        </w:rPr>
        <w:t xml:space="preserve">Political religion – state religion – civil religio</w:t>
      </w:r>
      <w:r>
        <w:rPr>
          <w:rFonts w:ascii="Gentium" w:hAnsi="Gentium" w:eastAsia="Gentium" w:cs="Gentium"/>
          <w:sz w:val="24"/>
          <w:szCs w:val="24"/>
          <w:lang w:eastAsia="en-US" w:bidi="he-IL"/>
        </w:rPr>
        <w:t xml:space="preserve">n</w:t>
      </w:r>
      <w:r>
        <w:rPr>
          <w:rFonts w:ascii="Gentium" w:hAnsi="Gentium" w:eastAsia="Gentium" w:cs="Gentium"/>
          <w:sz w:val="24"/>
          <w:szCs w:val="24"/>
          <w:lang w:eastAsia="en-US" w:bidi="he-IL"/>
        </w:rPr>
        <w:t xml:space="preserve"> – political theology’</w:t>
      </w:r>
      <w:r>
        <w:rPr>
          <w:rFonts w:ascii="Gentium" w:hAnsi="Gentium" w:eastAsia="Gentium" w:cs="Gentium"/>
          <w:sz w:val="24"/>
          <w:szCs w:val="24"/>
          <w:lang w:eastAsia="en-US" w:bidi="he-IL"/>
        </w:rPr>
        <w:t xml:space="preserve"> în Hans MAIER</w:t>
      </w:r>
      <w:r>
        <w:rPr>
          <w:rFonts w:ascii="Gentium" w:hAnsi="Gentium" w:eastAsia="Gentium" w:cs="Gentium"/>
          <w:sz w:val="24"/>
          <w:szCs w:val="24"/>
          <w:lang w:eastAsia="en-US" w:bidi="he-IL"/>
        </w:rPr>
        <w:t xml:space="preserve"> (ed)</w:t>
      </w:r>
      <w:r>
        <w:rPr>
          <w:rFonts w:ascii="Gentium" w:hAnsi="Gentium" w:eastAsia="Gentium" w:cs="Gentium"/>
          <w:sz w:val="24"/>
          <w:szCs w:val="24"/>
          <w:lang w:eastAsia="en-US" w:bidi="he-IL"/>
        </w:rPr>
        <w:t xml:space="preserve">, Totalitarianism and political religion, Vol. III. Concepts for the comparison of dictatorships: theory and history of interpretation, Routledge, New York, 2007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ROPKE, Wilhelm, ‘Liberalism and Christianity’</w:t>
      </w:r>
      <w:r>
        <w:rPr>
          <w:rFonts w:ascii="Gentium" w:hAnsi="Gentium" w:eastAsia="Gentium" w:cs="Gentium"/>
          <w:sz w:val="24"/>
          <w:szCs w:val="24"/>
          <w:lang w:eastAsia="en-US" w:bidi="he-IL"/>
        </w:rPr>
        <w:t xml:space="preserve"> în Modern Age, Fall 1957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BESANCON, Alain, Nenorocirea secolului. Despre comunism, nazism </w:t>
      </w:r>
      <w:r>
        <w:rPr>
          <w:rFonts w:ascii="Gentium" w:hAnsi="Gentium" w:eastAsia="Gentium" w:cs="Gentium"/>
          <w:sz w:val="24"/>
          <w:szCs w:val="24"/>
          <w:lang w:eastAsia="en-US" w:bidi="he-IL"/>
        </w:rPr>
        <w:t xml:space="preserve">ş</w:t>
      </w:r>
      <w:r>
        <w:rPr>
          <w:rFonts w:ascii="Gentium" w:hAnsi="Gentium" w:eastAsia="Gentium" w:cs="Gentium"/>
          <w:sz w:val="24"/>
          <w:szCs w:val="24"/>
          <w:lang w:eastAsia="en-US" w:bidi="he-IL"/>
        </w:rPr>
        <w:t xml:space="preserve">i unicitatea “</w:t>
      </w:r>
      <w:r>
        <w:rPr>
          <w:rFonts w:ascii="Gentium" w:hAnsi="Gentium" w:eastAsia="Gentium" w:cs="Gentium"/>
          <w:sz w:val="24"/>
          <w:szCs w:val="24"/>
          <w:lang w:eastAsia="en-US" w:bidi="he-IL"/>
        </w:rPr>
        <w:t xml:space="preserve">Ş</w:t>
      </w:r>
      <w:r>
        <w:rPr>
          <w:rFonts w:ascii="Gentium" w:hAnsi="Gentium" w:eastAsia="Gentium" w:cs="Gentium"/>
          <w:sz w:val="24"/>
          <w:szCs w:val="24"/>
          <w:lang w:eastAsia="en-US" w:bidi="he-IL"/>
        </w:rPr>
        <w:t xml:space="preserve">oah”-ului, Editura Humanitas, Bucureşti, 2007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BESANCON, Alain, </w:t>
      </w:r>
      <w:r>
        <w:rPr>
          <w:rFonts w:ascii="Gentium" w:hAnsi="Gentium" w:eastAsia="Gentium" w:cs="Gentium"/>
          <w:i/>
          <w:iCs/>
          <w:sz w:val="24"/>
          <w:szCs w:val="24"/>
          <w:lang w:eastAsia="en-US" w:bidi="he-IL"/>
        </w:rPr>
        <w:t xml:space="preserve">Originile intelectuale ale leninismului</w:t>
      </w:r>
      <w:r>
        <w:rPr>
          <w:rFonts w:ascii="Gentium" w:hAnsi="Gentium" w:eastAsia="Gentium" w:cs="Gentium"/>
          <w:sz w:val="24"/>
          <w:szCs w:val="24"/>
          <w:lang w:eastAsia="en-US" w:bidi="he-IL"/>
        </w:rPr>
        <w:t xml:space="preserve">, Editura Humanitas, Bucure</w:t>
      </w:r>
      <w:r>
        <w:rPr>
          <w:rFonts w:ascii="Gentium" w:hAnsi="Gentium" w:eastAsia="Gentium" w:cs="Gentium"/>
          <w:sz w:val="24"/>
          <w:szCs w:val="24"/>
          <w:lang w:eastAsia="en-US" w:bidi="he-IL"/>
        </w:rPr>
        <w:t xml:space="preserve">ş</w:t>
      </w:r>
      <w:r>
        <w:rPr>
          <w:rFonts w:ascii="Gentium" w:hAnsi="Gentium" w:eastAsia="Gentium" w:cs="Gentium"/>
          <w:sz w:val="24"/>
          <w:szCs w:val="24"/>
          <w:lang w:eastAsia="en-US" w:bidi="he-IL"/>
        </w:rPr>
        <w:t xml:space="preserve">ti, 2007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PUIG, Armand, </w:t>
      </w:r>
      <w:r>
        <w:rPr>
          <w:rFonts w:ascii="Gentium" w:hAnsi="Gentium" w:eastAsia="Gentium" w:cs="Gentium"/>
          <w:i/>
          <w:iCs/>
          <w:sz w:val="24"/>
          <w:szCs w:val="24"/>
          <w:lang w:eastAsia="en-US" w:bidi="he-IL"/>
        </w:rPr>
        <w:t xml:space="preserve">Isus. O biografie</w:t>
      </w:r>
      <w:r>
        <w:rPr>
          <w:rFonts w:ascii="Gentium" w:hAnsi="Gentium" w:eastAsia="Gentium" w:cs="Gentium"/>
          <w:sz w:val="24"/>
          <w:szCs w:val="24"/>
          <w:lang w:eastAsia="en-US" w:bidi="he-IL"/>
        </w:rPr>
        <w:t xml:space="preserve">, Editura Meronia, Bucure</w:t>
      </w:r>
      <w:r>
        <w:rPr>
          <w:rFonts w:ascii="Gentium" w:hAnsi="Gentium" w:eastAsia="Gentium" w:cs="Gentium"/>
          <w:sz w:val="24"/>
          <w:szCs w:val="24"/>
          <w:lang w:eastAsia="en-US" w:bidi="he-IL"/>
        </w:rPr>
        <w:t xml:space="preserve">ş</w:t>
      </w:r>
      <w:r>
        <w:rPr>
          <w:rFonts w:ascii="Gentium" w:hAnsi="Gentium" w:eastAsia="Gentium" w:cs="Gentium"/>
          <w:sz w:val="24"/>
          <w:szCs w:val="24"/>
          <w:lang w:eastAsia="en-US" w:bidi="he-IL"/>
        </w:rPr>
        <w:t xml:space="preserve">ti, 2007</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PREDA, Cristian, </w:t>
      </w:r>
      <w:r>
        <w:rPr>
          <w:rFonts w:ascii="Gentium" w:hAnsi="Gentium" w:eastAsia="Gentium" w:cs="Gentium"/>
          <w:i/>
          <w:iCs/>
          <w:sz w:val="24"/>
          <w:szCs w:val="24"/>
          <w:lang w:eastAsia="en-US" w:bidi="he-IL"/>
        </w:rPr>
        <w:t xml:space="preserve">Mic dic</w:t>
      </w:r>
      <w:r>
        <w:rPr>
          <w:rFonts w:ascii="Gentium" w:hAnsi="Gentium" w:eastAsia="Gentium" w:cs="Gentium"/>
          <w:i/>
          <w:iCs/>
          <w:sz w:val="24"/>
          <w:szCs w:val="24"/>
          <w:lang w:eastAsia="en-US" w:bidi="he-IL"/>
        </w:rPr>
        <w:t xml:space="preserve">ţionar</w:t>
      </w:r>
      <w:r>
        <w:rPr>
          <w:rFonts w:ascii="Gentium" w:hAnsi="Gentium" w:eastAsia="Gentium" w:cs="Gentium"/>
          <w:i/>
          <w:iCs/>
          <w:sz w:val="24"/>
          <w:szCs w:val="24"/>
          <w:lang w:eastAsia="en-US" w:bidi="he-IL"/>
        </w:rPr>
        <w:t xml:space="preserve"> de gîndire politic</w:t>
      </w:r>
      <w:r>
        <w:rPr>
          <w:rFonts w:ascii="Gentium" w:hAnsi="Gentium" w:eastAsia="Gentium" w:cs="Gentium"/>
          <w:i/>
          <w:iCs/>
          <w:sz w:val="24"/>
          <w:szCs w:val="24"/>
          <w:lang w:eastAsia="en-US" w:bidi="he-IL"/>
        </w:rPr>
        <w:t xml:space="preserve">ă</w:t>
      </w:r>
      <w:r>
        <w:rPr>
          <w:rFonts w:ascii="Gentium" w:hAnsi="Gentium" w:eastAsia="Gentium" w:cs="Gentium"/>
          <w:i/>
          <w:iCs/>
          <w:sz w:val="24"/>
          <w:szCs w:val="24"/>
          <w:lang w:eastAsia="en-US" w:bidi="he-IL"/>
        </w:rPr>
        <w:t xml:space="preserve"> </w:t>
      </w:r>
      <w:r>
        <w:rPr>
          <w:rFonts w:ascii="Gentium" w:hAnsi="Gentium" w:eastAsia="Gentium" w:cs="Gentium"/>
          <w:i/>
          <w:iCs/>
          <w:sz w:val="24"/>
          <w:szCs w:val="24"/>
          <w:lang w:eastAsia="en-US" w:bidi="he-IL"/>
        </w:rPr>
        <w:t xml:space="preserve">liberal</w:t>
      </w:r>
      <w:r>
        <w:rPr>
          <w:rFonts w:ascii="Gentium" w:hAnsi="Gentium" w:eastAsia="Gentium" w:cs="Gentium"/>
          <w:i/>
          <w:iCs/>
          <w:sz w:val="24"/>
          <w:szCs w:val="24"/>
          <w:lang w:eastAsia="en-US" w:bidi="he-IL"/>
        </w:rPr>
        <w:t xml:space="preserve">ă</w:t>
      </w:r>
      <w:r>
        <w:rPr>
          <w:rFonts w:ascii="Gentium" w:hAnsi="Gentium" w:eastAsia="Gentium" w:cs="Gentium"/>
          <w:sz w:val="24"/>
          <w:szCs w:val="24"/>
          <w:lang w:eastAsia="en-US" w:bidi="he-IL"/>
        </w:rPr>
        <w:t xml:space="preserve">, Editura Humanitas, Bucureşti, 2004</w:t>
      </w:r>
      <w:r>
        <w:rPr>
          <w:rFonts w:ascii="Gentium" w:hAnsi="Gentium" w:eastAsia="Gentium" w:cs="Gentium"/>
          <w:sz w:val="24"/>
          <w:szCs w:val="24"/>
          <w:lang w:eastAsia="en-US" w:bidi="he-IL"/>
        </w:rPr>
      </w:r>
      <w:r>
        <w:rPr>
          <w:rFonts w:ascii="Gentium" w:hAnsi="Gentium" w:cs="Gentium"/>
          <w:sz w:val="24"/>
          <w:szCs w:val="24"/>
        </w:rPr>
      </w:r>
    </w:p>
    <w:sectPr>
      <w:headerReference w:type="default" r:id="rId9"/>
      <w:headerReference w:type="even" r:id="rId10"/>
      <w:headerReference w:type="first" r:id="rId11"/>
      <w:footnotePr>
        <w:numRestart w:val="continuous"/>
      </w:footnotePr>
      <w:endnotePr>
        <w:numFmt w:val="decimal"/>
      </w:endnotePr>
      <w:type w:val="continuous"/>
      <w:pgSz w:h="12984" w:orient="portrait" w:w="8618"/>
      <w:pgMar w:top="510" w:right="1134" w:bottom="510" w:left="1077" w:header="737" w:footer="1191" w:gutter="0"/>
      <w:pgNumType w:start="5"/>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Symbol">
    <w:panose1 w:val="05050102010706020507"/>
  </w:font>
  <w:font w:name="Wingdings">
    <w:panose1 w:val="05000000000000000000"/>
  </w:font>
  <w:font w:name="Courier New">
    <w:panose1 w:val="02070309020205020404"/>
  </w:font>
  <w:font w:name="Cambria">
    <w:panose1 w:val="02040503050406030204"/>
  </w:font>
  <w:font w:name="Calibri">
    <w:panose1 w:val="020F0502020204030204"/>
  </w:font>
  <w:font w:name="Times New Roman">
    <w:panose1 w:val="02020603050405020304"/>
  </w:font>
  <w:font w:name="Palatino Linotype">
    <w:panose1 w:val="02040502050505030304"/>
  </w:font>
  <w:font w:name="Tahoma">
    <w:panose1 w:val="020B0604030504040204"/>
  </w:font>
  <w:font w:name="New Century Schoolbook">
    <w:panose1 w:val="020406030507050203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53</w:t>
    </w:r>
    <w:r>
      <w:fldChar w:fldCharType="end"/>
    </w:r>
    <w:r/>
  </w:p>
  <w:p>
    <w:pPr>
      <w:pStyle w:val="174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2</w:t>
    </w:r>
    <w:r>
      <w:fldChar w:fldCharType="end"/>
    </w:r>
    <w:r/>
  </w:p>
  <w:p>
    <w:pPr>
      <w:pStyle w:val="174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w:t>
    </w:r>
    <w:r>
      <w:fldChar w:fldCharType="end"/>
    </w:r>
    <w:r/>
  </w:p>
  <w:p>
    <w:pPr>
      <w:pStyle w:val="174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301F"/>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075BCD15"/>
    <w:lvl w:ilvl="0">
      <w:isLgl w:val="false"/>
      <w:lvlJc w:val="left"/>
      <w:lvlText w:val="%1"/>
      <w:numFmt w:val="decimal"/>
      <w:pPr>
        <w:pBdr/>
        <w:spacing/>
        <w:ind w:firstLine="0" w:left="0"/>
      </w:pPr>
      <w:rPr/>
      <w:start w:val="1"/>
      <w:suff w:val="nothing"/>
    </w:lvl>
    <w:lvl w:ilvl="1">
      <w:isLgl w:val="false"/>
      <w:lvlJc w:val="left"/>
      <w:lvlText w:val="%2"/>
      <w:numFmt w:val="decimal"/>
      <w:pPr>
        <w:pBdr/>
        <w:spacing/>
        <w:ind w:firstLine="0" w:left="0"/>
      </w:pPr>
      <w:rPr>
        <w:sz w:val="24"/>
      </w:rPr>
      <w:start w:val="1"/>
      <w:suff w:val="nothing"/>
    </w:lvl>
    <w:lvl w:ilvl="2">
      <w:isLgl w:val="false"/>
      <w:lvlJc w:val="left"/>
      <w:lvlText w:val="%2.%3"/>
      <w:numFmt w:val="decimal"/>
      <w:pPr>
        <w:pBdr/>
        <w:spacing/>
        <w:ind w:firstLine="0" w:left="0"/>
      </w:pPr>
      <w:rPr/>
      <w:start w:val="1"/>
      <w:suff w:val="nothing"/>
    </w:lvl>
    <w:lvl w:ilvl="3">
      <w:isLgl w:val="false"/>
      <w:lvlJc w:val="left"/>
      <w:lvlText w:val="%2.%3.((%4))"/>
      <w:numFmt w:val="lowerRoman"/>
      <w:pPr>
        <w:pBdr/>
        <w:spacing/>
        <w:ind w:firstLine="0" w:left="0"/>
      </w:pPr>
      <w:rPr/>
      <w:start w:val="1"/>
      <w:suff w:val="nothing"/>
    </w:lvl>
    <w:lvl w:ilvl="4">
      <w:isLgl w:val="false"/>
      <w:lvlJc w:val="left"/>
      <w:lvlText w:val="%2.%3.((%4)).(%5)"/>
      <w:numFmt w:val="lowerRoman"/>
      <w:pPr>
        <w:pBdr/>
        <w:spacing/>
        <w:ind w:firstLine="0" w:left="0"/>
      </w:pPr>
      <w:rPr/>
      <w:start w:val="1"/>
      <w:suff w:val="nothing"/>
    </w:lvl>
    <w:lvl w:ilvl="5">
      <w:isLgl w:val="false"/>
      <w:lvlJc w:val="left"/>
      <w:lvlText w:val="%6"/>
      <w:numFmt w:val="decimal"/>
      <w:pPr>
        <w:pBdr/>
        <w:spacing/>
        <w:ind w:firstLine="0" w:left="0"/>
      </w:pPr>
      <w:rPr/>
      <w:start w:val="1"/>
      <w:suff w:val="nothing"/>
    </w:lvl>
    <w:lvl w:ilvl="6">
      <w:isLgl w:val="false"/>
      <w:lvlJc w:val="left"/>
      <w:lvlText w:val="%7"/>
      <w:numFmt w:val="decimal"/>
      <w:pPr>
        <w:pBdr/>
        <w:spacing/>
        <w:ind w:firstLine="0" w:left="0"/>
      </w:pPr>
      <w:rPr/>
      <w:start w:val="1"/>
      <w:suff w:val="nothing"/>
    </w:lvl>
    <w:lvl w:ilvl="7">
      <w:isLgl w:val="false"/>
      <w:lvlJc w:val="left"/>
      <w:lvlText w:val="%8"/>
      <w:numFmt w:val="decimal"/>
      <w:pPr>
        <w:pBdr/>
        <w:spacing/>
        <w:ind w:firstLine="0" w:left="0"/>
      </w:pPr>
      <w:rPr/>
      <w:start w:val="1"/>
      <w:suff w:val="nothing"/>
    </w:lvl>
    <w:lvl w:ilvl="8">
      <w:isLgl w:val="false"/>
      <w:lvlJc w:val="left"/>
      <w:lvlText w:val="%9"/>
      <w:numFmt w:val="decimal"/>
      <w:pPr>
        <w:pBdr/>
        <w:spacing/>
        <w:ind w:firstLine="0" w:left="0"/>
      </w:pPr>
      <w:rPr/>
      <w:start w:val="1"/>
      <w:suff w:val="nothing"/>
    </w:lvl>
  </w:abstractNum>
  <w:abstractNum w:abstractNumId="2">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5AEE197F"/>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AC26B7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6">
    <w:nsid w:val="7EDC19EE"/>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7">
    <w:nsid w:val="7F0E063A"/>
    <w:lvl w:ilvl="0">
      <w:isLgl w:val="false"/>
      <w:lvlJc w:val="left"/>
      <w:lvlText w:val="%1."/>
      <w:numFmt w:val="decimal"/>
      <w:pPr>
        <w:pBdr/>
        <w:spacing/>
        <w:ind w:hanging="360" w:left="108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8">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9">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6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Table Grid Light"/>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Plain Table 1"/>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Plain Table 2"/>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Plain Table 3"/>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Plain Table 4"/>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Plain Table 5"/>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Grid Table 1 Light"/>
    <w:basedOn w:val="156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Grid Table 1 Light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Grid Table 1 Light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Grid Table 1 Light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Grid Table 1 Light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Grid Table 1 Light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1 Light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name w:val="Grid Table 2"/>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name w:val="Grid Table 2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name w:val="Grid Table 2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Grid Table 2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name w:val="Grid Table 2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name w:val="Grid Table 2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Grid Table 2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name w:val="Grid Table 3"/>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name w:val="Grid Table 3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name w:val="Grid Table 3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name w:val="Grid Table 3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name w:val="Grid Table 3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name w:val="Grid Table 3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name w:val="Grid Table 3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name w:val="Grid Table 4"/>
    <w:basedOn w:val="156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Grid Table 4 - Accent 1"/>
    <w:basedOn w:val="156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Grid Table 4 - Accent 2"/>
    <w:basedOn w:val="156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Grid Table 4 - Accent 3"/>
    <w:basedOn w:val="156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Grid Table 4 - Accent 4"/>
    <w:basedOn w:val="156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Grid Table 4 - Accent 5"/>
    <w:basedOn w:val="156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Grid Table 4 - Accent 6"/>
    <w:basedOn w:val="156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Grid Table 5 Dark"/>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Grid Table 5 Dark- Accent 1"/>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Grid Table 5 Dark - Accent 2"/>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Grid Table 5 Dark - Accent 3"/>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Grid Table 5 Dark- Accent 4"/>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Grid Table 5 Dark - Accent 5"/>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Grid Table 5 Dark - Accent 6"/>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Grid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07">
    <w:name w:val="Grid Table 6 Colorful - Accent 1"/>
    <w:basedOn w:val="156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08">
    <w:name w:val="Grid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09">
    <w:name w:val="Grid Table 6 Colorful - Accent 3"/>
    <w:basedOn w:val="156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10">
    <w:name w:val="Grid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11">
    <w:name w:val="Grid Table 6 Colorful - Accent 5"/>
    <w:basedOn w:val="156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2">
    <w:name w:val="Grid Table 6 Colorful - Accent 6"/>
    <w:basedOn w:val="156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3">
    <w:name w:val="Grid Table 7 Colorful"/>
    <w:basedOn w:val="156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Grid Table 7 Colorful - Accent 1"/>
    <w:basedOn w:val="156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Grid Table 7 Colorful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Grid Table 7 Colorful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Grid Table 7 Colorful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Grid Table 7 Colorful - Accent 5"/>
    <w:basedOn w:val="156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Grid Table 7 Colorful - Accent 6"/>
    <w:basedOn w:val="156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List Table 1 Light"/>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List Table 1 Light - Accent 1"/>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List Table 1 Light - Accent 2"/>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List Table 1 Light - Accent 3"/>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List Table 1 Light - Accent 4"/>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List Table 1 Light - Accent 5"/>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List Table 1 Light - Accent 6"/>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List Table 2"/>
    <w:basedOn w:val="156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name w:val="List Table 2 - Accent 1"/>
    <w:basedOn w:val="156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name w:val="List Table 2 - Accent 2"/>
    <w:basedOn w:val="156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name w:val="List Table 2 - Accent 3"/>
    <w:basedOn w:val="156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name w:val="List Table 2 - Accent 4"/>
    <w:basedOn w:val="156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name w:val="List Table 2 - Accent 5"/>
    <w:basedOn w:val="156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List Table 2 - Accent 6"/>
    <w:basedOn w:val="156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name w:val="List Table 3"/>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name w:val="List Table 3 - Accent 1"/>
    <w:basedOn w:val="156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List Table 3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List Table 3 - Accent 3"/>
    <w:basedOn w:val="156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List Table 3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List Table 3 - Accent 5"/>
    <w:basedOn w:val="156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List Table 3 - Accent 6"/>
    <w:basedOn w:val="156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List Table 4"/>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List Table 4 - Accent 1"/>
    <w:basedOn w:val="156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List Table 4 - Accent 2"/>
    <w:basedOn w:val="156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List Table 4 - Accent 3"/>
    <w:basedOn w:val="156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List Table 4 - Accent 4"/>
    <w:basedOn w:val="156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List Table 4 - Accent 5"/>
    <w:basedOn w:val="156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List Table 4 - Accent 6"/>
    <w:basedOn w:val="156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List Table 5 Dark"/>
    <w:basedOn w:val="156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49">
    <w:name w:val="List Table 5 Dark - Accent 1"/>
    <w:basedOn w:val="156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0">
    <w:name w:val="List Table 5 Dark - Accent 2"/>
    <w:basedOn w:val="156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1">
    <w:name w:val="List Table 5 Dark - Accent 3"/>
    <w:basedOn w:val="156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2">
    <w:name w:val="List Table 5 Dark - Accent 4"/>
    <w:basedOn w:val="156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3">
    <w:name w:val="List Table 5 Dark - Accent 5"/>
    <w:basedOn w:val="156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4">
    <w:name w:val="List Table 5 Dark - Accent 6"/>
    <w:basedOn w:val="156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5">
    <w:name w:val="List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List Table 6 Colorful - Accent 1"/>
    <w:basedOn w:val="156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List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List Table 6 Colorful - Accent 3"/>
    <w:basedOn w:val="156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List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List Table 6 Colorful - Accent 5"/>
    <w:basedOn w:val="156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List Table 6 Colorful - Accent 6"/>
    <w:basedOn w:val="156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List Table 7 Colorful"/>
    <w:basedOn w:val="156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63">
    <w:name w:val="List Table 7 Colorful - Accent 1"/>
    <w:basedOn w:val="156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664">
    <w:name w:val="List Table 7 Colorful - Accent 2"/>
    <w:basedOn w:val="156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665">
    <w:name w:val="List Table 7 Colorful - Accent 3"/>
    <w:basedOn w:val="156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666">
    <w:name w:val="List Table 7 Colorful - Accent 4"/>
    <w:basedOn w:val="156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667">
    <w:name w:val="List Table 7 Colorful - Accent 5"/>
    <w:basedOn w:val="156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668">
    <w:name w:val="List Table 7 Colorful - Accent 6"/>
    <w:basedOn w:val="156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669">
    <w:name w:val="Lined - Accent"/>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Lined - Accent 1"/>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Lined - Accent 2"/>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Lined - Accent 3"/>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Lined - Accent 4"/>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Lined - Accent 5"/>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Lined - Accent 6"/>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Bordered &amp; Lined - Accent"/>
    <w:basedOn w:val="156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Bordered &amp; Lined - Accent 1"/>
    <w:basedOn w:val="156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Bordered &amp; Lined - Accent 2"/>
    <w:basedOn w:val="156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9">
    <w:name w:val="Bordered &amp; Lined - Accent 3"/>
    <w:basedOn w:val="156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0">
    <w:name w:val="Bordered &amp; Lined - Accent 4"/>
    <w:basedOn w:val="156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1">
    <w:name w:val="Bordered &amp; Lined - Accent 5"/>
    <w:basedOn w:val="156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2">
    <w:name w:val="Bordered &amp; Lined - Accent 6"/>
    <w:basedOn w:val="156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3">
    <w:name w:val="Bordered"/>
    <w:basedOn w:val="156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4">
    <w:name w:val="Bordered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5">
    <w:name w:val="Bordered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Bordered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Bordered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Bordered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Bordered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90">
    <w:name w:val="Heading 8"/>
    <w:basedOn w:val="1711"/>
    <w:next w:val="1711"/>
    <w:link w:val="169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91">
    <w:name w:val="Heading 9"/>
    <w:basedOn w:val="1711"/>
    <w:next w:val="1711"/>
    <w:link w:val="169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92">
    <w:name w:val="Heading 1 Char"/>
    <w:basedOn w:val="1719"/>
    <w:link w:val="1712"/>
    <w:uiPriority w:val="9"/>
    <w:pPr>
      <w:pBdr/>
      <w:spacing/>
      <w:ind/>
    </w:pPr>
    <w:rPr>
      <w:rFonts w:ascii="Arial" w:hAnsi="Arial" w:eastAsia="Arial" w:cs="Arial"/>
      <w:color w:val="0f4761" w:themeColor="accent1" w:themeShade="BF"/>
      <w:sz w:val="40"/>
      <w:szCs w:val="40"/>
    </w:rPr>
  </w:style>
  <w:style w:type="character" w:styleId="1693">
    <w:name w:val="Heading 6 Char"/>
    <w:basedOn w:val="1719"/>
    <w:link w:val="1717"/>
    <w:uiPriority w:val="9"/>
    <w:pPr>
      <w:pBdr/>
      <w:spacing/>
      <w:ind/>
    </w:pPr>
    <w:rPr>
      <w:rFonts w:ascii="Arial" w:hAnsi="Arial" w:eastAsia="Arial" w:cs="Arial"/>
      <w:i/>
      <w:iCs/>
      <w:color w:val="595959" w:themeColor="text1" w:themeTint="A6"/>
    </w:rPr>
  </w:style>
  <w:style w:type="character" w:styleId="1694">
    <w:name w:val="Heading 7 Char"/>
    <w:basedOn w:val="1719"/>
    <w:link w:val="1718"/>
    <w:uiPriority w:val="9"/>
    <w:pPr>
      <w:pBdr/>
      <w:spacing/>
      <w:ind/>
    </w:pPr>
    <w:rPr>
      <w:rFonts w:ascii="Arial" w:hAnsi="Arial" w:eastAsia="Arial" w:cs="Arial"/>
      <w:color w:val="595959" w:themeColor="text1" w:themeTint="A6"/>
    </w:rPr>
  </w:style>
  <w:style w:type="character" w:styleId="1695">
    <w:name w:val="Heading 8 Char"/>
    <w:basedOn w:val="1719"/>
    <w:link w:val="1690"/>
    <w:uiPriority w:val="9"/>
    <w:pPr>
      <w:pBdr/>
      <w:spacing/>
      <w:ind/>
    </w:pPr>
    <w:rPr>
      <w:rFonts w:ascii="Arial" w:hAnsi="Arial" w:eastAsia="Arial" w:cs="Arial"/>
      <w:i/>
      <w:iCs/>
      <w:color w:val="272727" w:themeColor="text1" w:themeTint="D8"/>
    </w:rPr>
  </w:style>
  <w:style w:type="character" w:styleId="1696">
    <w:name w:val="Heading 9 Char"/>
    <w:basedOn w:val="1719"/>
    <w:link w:val="1691"/>
    <w:uiPriority w:val="9"/>
    <w:pPr>
      <w:pBdr/>
      <w:spacing/>
      <w:ind/>
    </w:pPr>
    <w:rPr>
      <w:rFonts w:ascii="Arial" w:hAnsi="Arial" w:eastAsia="Arial" w:cs="Arial"/>
      <w:i/>
      <w:iCs/>
      <w:color w:val="272727" w:themeColor="text1" w:themeTint="D8"/>
    </w:rPr>
  </w:style>
  <w:style w:type="character" w:styleId="1697">
    <w:name w:val="Title Char"/>
    <w:basedOn w:val="1719"/>
    <w:link w:val="1733"/>
    <w:uiPriority w:val="10"/>
    <w:pPr>
      <w:pBdr/>
      <w:spacing/>
      <w:ind/>
    </w:pPr>
    <w:rPr>
      <w:rFonts w:ascii="Arial" w:hAnsi="Arial" w:eastAsia="Arial" w:cs="Arial"/>
      <w:spacing w:val="-10"/>
      <w:sz w:val="56"/>
      <w:szCs w:val="56"/>
    </w:rPr>
  </w:style>
  <w:style w:type="paragraph" w:styleId="1698">
    <w:name w:val="Quote"/>
    <w:basedOn w:val="1711"/>
    <w:next w:val="1711"/>
    <w:link w:val="1699"/>
    <w:uiPriority w:val="29"/>
    <w:qFormat/>
    <w:pPr>
      <w:pBdr/>
      <w:spacing w:before="160"/>
      <w:ind/>
      <w:jc w:val="center"/>
    </w:pPr>
    <w:rPr>
      <w:i/>
      <w:iCs/>
      <w:color w:val="404040" w:themeColor="text1" w:themeTint="BF"/>
    </w:rPr>
  </w:style>
  <w:style w:type="character" w:styleId="1699">
    <w:name w:val="Quote Char"/>
    <w:basedOn w:val="1719"/>
    <w:link w:val="1698"/>
    <w:uiPriority w:val="29"/>
    <w:pPr>
      <w:pBdr/>
      <w:spacing/>
      <w:ind/>
    </w:pPr>
    <w:rPr>
      <w:i/>
      <w:iCs/>
      <w:color w:val="404040" w:themeColor="text1" w:themeTint="BF"/>
    </w:rPr>
  </w:style>
  <w:style w:type="character" w:styleId="1700">
    <w:name w:val="Intense Emphasis"/>
    <w:basedOn w:val="1719"/>
    <w:uiPriority w:val="21"/>
    <w:qFormat/>
    <w:pPr>
      <w:pBdr/>
      <w:spacing/>
      <w:ind/>
    </w:pPr>
    <w:rPr>
      <w:i/>
      <w:iCs/>
      <w:color w:val="0f4761" w:themeColor="accent1" w:themeShade="BF"/>
    </w:rPr>
  </w:style>
  <w:style w:type="paragraph" w:styleId="1701">
    <w:name w:val="Intense Quote"/>
    <w:basedOn w:val="1711"/>
    <w:next w:val="1711"/>
    <w:link w:val="170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02">
    <w:name w:val="Intense Quote Char"/>
    <w:basedOn w:val="1719"/>
    <w:link w:val="1701"/>
    <w:uiPriority w:val="30"/>
    <w:pPr>
      <w:pBdr/>
      <w:spacing/>
      <w:ind/>
    </w:pPr>
    <w:rPr>
      <w:i/>
      <w:iCs/>
      <w:color w:val="0f4761" w:themeColor="accent1" w:themeShade="BF"/>
    </w:rPr>
  </w:style>
  <w:style w:type="character" w:styleId="1703">
    <w:name w:val="Intense Reference"/>
    <w:basedOn w:val="1719"/>
    <w:uiPriority w:val="32"/>
    <w:qFormat/>
    <w:pPr>
      <w:pBdr/>
      <w:spacing/>
      <w:ind/>
    </w:pPr>
    <w:rPr>
      <w:b/>
      <w:bCs/>
      <w:smallCaps/>
      <w:color w:val="0f4761" w:themeColor="accent1" w:themeShade="BF"/>
      <w:spacing w:val="5"/>
    </w:rPr>
  </w:style>
  <w:style w:type="paragraph" w:styleId="1704">
    <w:name w:val="No Spacing"/>
    <w:basedOn w:val="1711"/>
    <w:uiPriority w:val="1"/>
    <w:qFormat/>
    <w:pPr>
      <w:pBdr/>
      <w:spacing w:after="0" w:line="240" w:lineRule="auto"/>
      <w:ind/>
    </w:pPr>
  </w:style>
  <w:style w:type="character" w:styleId="1705">
    <w:name w:val="Subtle Emphasis"/>
    <w:basedOn w:val="1719"/>
    <w:uiPriority w:val="19"/>
    <w:qFormat/>
    <w:pPr>
      <w:pBdr/>
      <w:spacing/>
      <w:ind/>
    </w:pPr>
    <w:rPr>
      <w:i/>
      <w:iCs/>
      <w:color w:val="404040" w:themeColor="text1" w:themeTint="BF"/>
    </w:rPr>
  </w:style>
  <w:style w:type="character" w:styleId="1706">
    <w:name w:val="Subtle Reference"/>
    <w:basedOn w:val="1719"/>
    <w:uiPriority w:val="31"/>
    <w:qFormat/>
    <w:pPr>
      <w:pBdr/>
      <w:spacing/>
      <w:ind/>
    </w:pPr>
    <w:rPr>
      <w:smallCaps/>
      <w:color w:val="5a5a5a" w:themeColor="text1" w:themeTint="A5"/>
    </w:rPr>
  </w:style>
  <w:style w:type="character" w:styleId="1707">
    <w:name w:val="Footer Char"/>
    <w:basedOn w:val="1719"/>
    <w:link w:val="1742"/>
    <w:uiPriority w:val="99"/>
    <w:pPr>
      <w:pBdr/>
      <w:spacing/>
      <w:ind/>
    </w:pPr>
  </w:style>
  <w:style w:type="paragraph" w:styleId="1708">
    <w:name w:val="Caption"/>
    <w:basedOn w:val="1711"/>
    <w:next w:val="1711"/>
    <w:uiPriority w:val="35"/>
    <w:unhideWhenUsed/>
    <w:qFormat/>
    <w:pPr>
      <w:pBdr/>
      <w:spacing w:after="200" w:line="240" w:lineRule="auto"/>
      <w:ind/>
    </w:pPr>
    <w:rPr>
      <w:i/>
      <w:iCs/>
      <w:color w:val="0e2841" w:themeColor="text2"/>
      <w:sz w:val="18"/>
      <w:szCs w:val="18"/>
    </w:rPr>
  </w:style>
  <w:style w:type="character" w:styleId="1709">
    <w:name w:val="Placeholder Text"/>
    <w:basedOn w:val="1719"/>
    <w:uiPriority w:val="99"/>
    <w:semiHidden/>
    <w:pPr>
      <w:pBdr/>
      <w:spacing/>
      <w:ind/>
    </w:pPr>
    <w:rPr>
      <w:color w:val="666666"/>
    </w:rPr>
  </w:style>
  <w:style w:type="paragraph" w:styleId="1710">
    <w:name w:val="table of figures"/>
    <w:basedOn w:val="1711"/>
    <w:next w:val="1711"/>
    <w:uiPriority w:val="99"/>
    <w:unhideWhenUsed/>
    <w:pPr>
      <w:pBdr/>
      <w:spacing w:after="0" w:afterAutospacing="0"/>
      <w:ind/>
    </w:pPr>
  </w:style>
  <w:style w:type="paragraph" w:styleId="1711" w:default="1">
    <w:name w:val="Normal"/>
    <w:next w:val="1711"/>
    <w:link w:val="1711"/>
    <w:qFormat/>
    <w:pPr>
      <w:pBdr/>
      <w:spacing w:line="240" w:lineRule="atLeast"/>
      <w:ind w:firstLine="288"/>
      <w:jc w:val="both"/>
    </w:pPr>
    <w:rPr>
      <w:rFonts w:ascii="New Century Schoolbook" w:hAnsi="New Century Schoolbook"/>
      <w:sz w:val="24"/>
      <w:szCs w:val="24"/>
      <w:lang w:val="ro-RO" w:eastAsia="ro-RO" w:bidi="ar-SA"/>
    </w:rPr>
  </w:style>
  <w:style w:type="paragraph" w:styleId="1712">
    <w:name w:val="Heading 1"/>
    <w:basedOn w:val="1711"/>
    <w:next w:val="1711"/>
    <w:link w:val="1711"/>
    <w:qFormat/>
    <w:pPr>
      <w:keepNext w:val="true"/>
      <w:pBdr/>
      <w:spacing w:after="720" w:before="840"/>
      <w:ind/>
      <w:jc w:val="center"/>
      <w:outlineLvl w:val="0"/>
    </w:pPr>
    <w:rPr>
      <w:rFonts w:ascii="New Century Schoolbook" w:hAnsi="New Century Schoolbook" w:cs="Arial"/>
      <w:b/>
      <w:bCs/>
      <w:sz w:val="44"/>
      <w:szCs w:val="44"/>
      <w:lang w:val="en-US"/>
    </w:rPr>
  </w:style>
  <w:style w:type="paragraph" w:styleId="1713">
    <w:name w:val="Heading 2"/>
    <w:basedOn w:val="1711"/>
    <w:next w:val="1711"/>
    <w:link w:val="1722"/>
    <w:qFormat/>
    <w:pPr>
      <w:keepNext w:val="true"/>
      <w:pBdr/>
      <w:spacing w:after="240" w:before="240" w:line="240" w:lineRule="exact"/>
      <w:ind/>
      <w:outlineLvl w:val="1"/>
    </w:pPr>
    <w:rPr>
      <w:rFonts w:ascii="New Century Schoolbook" w:hAnsi="New Century Schoolbook" w:cs="Arial"/>
      <w:b/>
      <w:bCs/>
    </w:rPr>
  </w:style>
  <w:style w:type="paragraph" w:styleId="1714">
    <w:name w:val="Heading 3"/>
    <w:basedOn w:val="1711"/>
    <w:next w:val="1711"/>
    <w:link w:val="1793"/>
    <w:qFormat/>
    <w:pPr>
      <w:keepNext w:val="true"/>
      <w:keepLines w:val="true"/>
      <w:pBdr/>
      <w:spacing w:after="120" w:before="240" w:line="240" w:lineRule="exact"/>
      <w:ind w:firstLine="0"/>
      <w:outlineLvl w:val="2"/>
    </w:pPr>
    <w:rPr>
      <w:rFonts w:ascii="Palatino Linotype" w:hAnsi="Palatino Linotype" w:cs="Arial"/>
      <w:b/>
      <w:lang w:val="fr-FR"/>
    </w:rPr>
  </w:style>
  <w:style w:type="paragraph" w:styleId="1715">
    <w:name w:val="Heading 4"/>
    <w:basedOn w:val="1711"/>
    <w:next w:val="1711"/>
    <w:link w:val="1723"/>
    <w:qFormat/>
    <w:pPr>
      <w:keepNext w:val="true"/>
      <w:keepLines w:val="true"/>
      <w:pBdr/>
      <w:spacing w:after="40" w:before="200"/>
      <w:ind/>
      <w:outlineLvl w:val="3"/>
    </w:pPr>
    <w:rPr>
      <w:rFonts w:ascii="New Century Schoolbook" w:hAnsi="New Century Schoolbook"/>
      <w:smallCaps/>
      <w:sz w:val="21"/>
      <w:szCs w:val="28"/>
      <w:lang w:val="fr-FR"/>
    </w:rPr>
  </w:style>
  <w:style w:type="paragraph" w:styleId="1716">
    <w:name w:val="Heading 5"/>
    <w:basedOn w:val="1711"/>
    <w:next w:val="1711"/>
    <w:link w:val="1724"/>
    <w:qFormat/>
    <w:pPr>
      <w:pBdr/>
      <w:spacing w:after="40" w:before="200"/>
      <w:ind/>
      <w:outlineLvl w:val="4"/>
    </w:pPr>
    <w:rPr>
      <w:rFonts w:ascii="New Century Schoolbook" w:hAnsi="New Century Schoolbook"/>
      <w:bCs/>
      <w:iCs/>
      <w:sz w:val="21"/>
      <w:szCs w:val="26"/>
      <w:lang w:val="en-US"/>
    </w:rPr>
  </w:style>
  <w:style w:type="paragraph" w:styleId="1717">
    <w:name w:val="Heading 6"/>
    <w:basedOn w:val="1711"/>
    <w:next w:val="1711"/>
    <w:link w:val="1711"/>
    <w:qFormat/>
    <w:pPr>
      <w:pBdr/>
      <w:spacing w:after="60" w:before="240"/>
      <w:ind/>
      <w:outlineLvl w:val="5"/>
    </w:pPr>
    <w:rPr>
      <w:b/>
      <w:bCs/>
      <w:sz w:val="22"/>
      <w:szCs w:val="22"/>
    </w:rPr>
  </w:style>
  <w:style w:type="paragraph" w:styleId="1718">
    <w:name w:val="Heading 7"/>
    <w:basedOn w:val="1711"/>
    <w:next w:val="1711"/>
    <w:link w:val="1711"/>
    <w:qFormat/>
    <w:pPr>
      <w:pBdr/>
      <w:spacing w:after="60" w:before="240"/>
      <w:ind/>
      <w:outlineLvl w:val="6"/>
    </w:pPr>
  </w:style>
  <w:style w:type="character" w:styleId="1719" w:default="1">
    <w:name w:val="Default Paragraph Font"/>
    <w:next w:val="1719"/>
    <w:link w:val="1711"/>
    <w:uiPriority w:val="1"/>
    <w:unhideWhenUsed/>
    <w:pPr>
      <w:pBdr/>
      <w:spacing/>
      <w:ind/>
    </w:pPr>
  </w:style>
  <w:style w:type="table" w:styleId="1720">
    <w:name w:val="Table Normal"/>
    <w:next w:val="1720"/>
    <w:link w:val="1711"/>
    <w:uiPriority w:val="99"/>
    <w:semiHidden/>
    <w:unhideWhenUsed/>
    <w:qFormat/>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21" w:default="1">
    <w:name w:val="No List"/>
    <w:next w:val="1721"/>
    <w:link w:val="1711"/>
    <w:uiPriority w:val="99"/>
    <w:semiHidden/>
    <w:unhideWhenUsed/>
    <w:pPr>
      <w:pBdr/>
      <w:spacing/>
      <w:ind/>
    </w:pPr>
  </w:style>
  <w:style w:type="character" w:styleId="1722">
    <w:name w:val="Heading 2 Char"/>
    <w:next w:val="1722"/>
    <w:link w:val="1713"/>
    <w:pPr>
      <w:pBdr/>
      <w:spacing/>
      <w:ind/>
    </w:pPr>
    <w:rPr>
      <w:rFonts w:ascii="New Century Schoolbook" w:hAnsi="New Century Schoolbook" w:cs="Arial"/>
      <w:b/>
      <w:bCs/>
      <w:sz w:val="24"/>
      <w:szCs w:val="24"/>
      <w:lang w:val="ro-RO" w:eastAsia="ro-RO"/>
    </w:rPr>
  </w:style>
  <w:style w:type="character" w:styleId="1723">
    <w:name w:val="Heading 4 Char"/>
    <w:next w:val="1723"/>
    <w:link w:val="1715"/>
    <w:pPr>
      <w:pBdr/>
      <w:spacing/>
      <w:ind/>
    </w:pPr>
    <w:rPr>
      <w:rFonts w:ascii="New Century Schoolbook" w:hAnsi="New Century Schoolbook"/>
      <w:smallCaps/>
      <w:sz w:val="21"/>
      <w:szCs w:val="28"/>
      <w:lang w:val="fr-FR" w:eastAsia="ro-RO" w:bidi="ar-SA"/>
    </w:rPr>
  </w:style>
  <w:style w:type="character" w:styleId="1724">
    <w:name w:val="Heading 5 Char"/>
    <w:next w:val="1724"/>
    <w:link w:val="1716"/>
    <w:pPr>
      <w:pBdr/>
      <w:spacing/>
      <w:ind/>
    </w:pPr>
    <w:rPr>
      <w:rFonts w:ascii="New Century Schoolbook" w:hAnsi="New Century Schoolbook"/>
      <w:bCs/>
      <w:iCs/>
      <w:sz w:val="21"/>
      <w:szCs w:val="26"/>
      <w:lang w:val="en-US" w:eastAsia="ro-RO" w:bidi="ar-SA"/>
    </w:rPr>
  </w:style>
  <w:style w:type="paragraph" w:styleId="1725">
    <w:name w:val="NX Char"/>
    <w:next w:val="1726"/>
    <w:link w:val="1727"/>
    <w:pPr>
      <w:widowControl w:val="false"/>
      <w:pBdr/>
      <w:spacing/>
      <w:ind/>
      <w:jc w:val="left"/>
    </w:pPr>
    <w:rPr>
      <w:rFonts w:ascii="New Century Schoolbook" w:hAnsi="New Century Schoolbook"/>
      <w:sz w:val="22"/>
      <w:szCs w:val="22"/>
      <w:lang w:val="ro-RO" w:eastAsia="ro-RO" w:bidi="ar-SA"/>
    </w:rPr>
  </w:style>
  <w:style w:type="paragraph" w:styleId="1726">
    <w:name w:val="Normal Indent"/>
    <w:basedOn w:val="1711"/>
    <w:next w:val="1726"/>
    <w:link w:val="1711"/>
    <w:pPr>
      <w:pBdr/>
      <w:spacing/>
      <w:ind w:left="720"/>
    </w:pPr>
  </w:style>
  <w:style w:type="character" w:styleId="1727">
    <w:name w:val="NX Char Char"/>
    <w:next w:val="1727"/>
    <w:link w:val="1725"/>
    <w:pPr>
      <w:pBdr/>
      <w:spacing/>
      <w:ind/>
    </w:pPr>
    <w:rPr>
      <w:rFonts w:ascii="New Century Schoolbook" w:hAnsi="New Century Schoolbook"/>
      <w:sz w:val="22"/>
      <w:szCs w:val="22"/>
      <w:lang w:val="ro-RO" w:eastAsia="ro-RO" w:bidi="ar-SA"/>
    </w:rPr>
  </w:style>
  <w:style w:type="character" w:styleId="1728">
    <w:name w:val="SX"/>
    <w:next w:val="1728"/>
    <w:link w:val="1711"/>
    <w:pPr>
      <w:pBdr/>
      <w:spacing/>
      <w:ind/>
    </w:pPr>
  </w:style>
  <w:style w:type="character" w:styleId="1729">
    <w:name w:val="BX"/>
    <w:next w:val="1729"/>
    <w:link w:val="1711"/>
    <w:pPr>
      <w:pBdr/>
      <w:spacing/>
      <w:ind/>
    </w:pPr>
    <w:rPr>
      <w:sz w:val="18"/>
      <w:szCs w:val="20"/>
    </w:rPr>
  </w:style>
  <w:style w:type="paragraph" w:styleId="1730">
    <w:name w:val="Document Map"/>
    <w:basedOn w:val="1711"/>
    <w:next w:val="1730"/>
    <w:link w:val="1711"/>
    <w:pPr>
      <w:pBdr/>
      <w:shd w:val="clear" w:color="auto" w:fill="000080"/>
      <w:spacing/>
      <w:ind/>
    </w:pPr>
    <w:rPr>
      <w:rFonts w:ascii="Tahoma" w:hAnsi="Tahoma" w:cs="Tahoma"/>
    </w:rPr>
  </w:style>
  <w:style w:type="paragraph" w:styleId="1731">
    <w:name w:val="footnote text"/>
    <w:basedOn w:val="1711"/>
    <w:next w:val="1731"/>
    <w:link w:val="1785"/>
    <w:pPr>
      <w:pBdr/>
      <w:tabs>
        <w:tab w:val="left" w:leader="dot" w:pos="426"/>
      </w:tabs>
      <w:spacing w:line="220" w:lineRule="exact"/>
      <w:ind w:firstLine="0"/>
      <w:jc w:val="left"/>
    </w:pPr>
    <w:rPr>
      <w:rFonts w:ascii="New Century Schoolbook" w:hAnsi="New Century Schoolbook"/>
      <w:sz w:val="20"/>
      <w:szCs w:val="20"/>
    </w:rPr>
  </w:style>
  <w:style w:type="character" w:styleId="1732">
    <w:name w:val="footnote reference"/>
    <w:next w:val="1732"/>
    <w:link w:val="1711"/>
    <w:pPr>
      <w:pBdr/>
      <w:spacing/>
      <w:ind/>
    </w:pPr>
    <w:rPr>
      <w:vertAlign w:val="superscript"/>
    </w:rPr>
  </w:style>
  <w:style w:type="paragraph" w:styleId="1733">
    <w:name w:val="Title"/>
    <w:basedOn w:val="1711"/>
    <w:next w:val="1733"/>
    <w:link w:val="1734"/>
    <w:qFormat/>
    <w:pPr>
      <w:pBdr/>
      <w:tabs>
        <w:tab w:val="left" w:leader="none" w:pos="576"/>
        <w:tab w:val="left" w:leader="none" w:pos="1152"/>
        <w:tab w:val="left" w:leader="none" w:pos="1440"/>
      </w:tabs>
      <w:spacing/>
      <w:ind/>
      <w:jc w:val="center"/>
      <w:outlineLvl w:val="0"/>
    </w:pPr>
    <w:rPr>
      <w:sz w:val="32"/>
    </w:rPr>
  </w:style>
  <w:style w:type="character" w:styleId="1734">
    <w:name w:val="Title Char1"/>
    <w:next w:val="1734"/>
    <w:link w:val="1733"/>
    <w:pPr>
      <w:pBdr/>
      <w:spacing/>
      <w:ind/>
    </w:pPr>
    <w:rPr>
      <w:sz w:val="32"/>
      <w:szCs w:val="24"/>
      <w:lang w:val="ro-RO" w:eastAsia="ro-RO" w:bidi="ar-SA"/>
    </w:rPr>
  </w:style>
  <w:style w:type="paragraph" w:styleId="1735">
    <w:name w:val="Body Text"/>
    <w:basedOn w:val="1711"/>
    <w:next w:val="1735"/>
    <w:link w:val="1854"/>
    <w:pPr>
      <w:pBdr/>
      <w:tabs>
        <w:tab w:val="left" w:leader="none" w:pos="576"/>
        <w:tab w:val="left" w:leader="none" w:pos="1152"/>
        <w:tab w:val="left" w:leader="none" w:pos="2160"/>
      </w:tabs>
      <w:spacing/>
      <w:ind w:firstLine="288"/>
    </w:pPr>
    <w:rPr>
      <w:rFonts w:ascii="New Century Schoolbook" w:hAnsi="New Century Schoolbook"/>
    </w:rPr>
  </w:style>
  <w:style w:type="paragraph" w:styleId="1736">
    <w:name w:val="*"/>
    <w:next w:val="1736"/>
    <w:link w:val="1711"/>
    <w:pPr>
      <w:widowControl w:val="false"/>
      <w:pBdr/>
      <w:spacing/>
      <w:ind/>
    </w:pPr>
    <w:rPr>
      <w:sz w:val="24"/>
      <w:szCs w:val="24"/>
      <w:lang w:val="ro-RO" w:eastAsia="ro-RO" w:bidi="ar-SA"/>
    </w:rPr>
  </w:style>
  <w:style w:type="character" w:styleId="1737">
    <w:name w:val="BT:"/>
    <w:next w:val="1737"/>
    <w:link w:val="1711"/>
    <w:pPr>
      <w:pBdr/>
      <w:spacing/>
      <w:ind/>
    </w:pPr>
    <w:rPr>
      <w:rFonts w:ascii="Times New Roman" w:hAnsi="Times New Roman" w:cs="Times New Roman"/>
      <w:i/>
      <w:sz w:val="18"/>
      <w:szCs w:val="20"/>
    </w:rPr>
  </w:style>
  <w:style w:type="character" w:styleId="1738">
    <w:name w:val="ET:"/>
    <w:next w:val="1738"/>
    <w:link w:val="1711"/>
    <w:pPr>
      <w:pBdr/>
      <w:spacing/>
      <w:ind/>
    </w:pPr>
  </w:style>
  <w:style w:type="character" w:styleId="1739">
    <w:name w:val="ST:"/>
    <w:next w:val="1739"/>
    <w:link w:val="1711"/>
    <w:pPr>
      <w:pBdr/>
      <w:spacing/>
      <w:ind/>
    </w:pPr>
  </w:style>
  <w:style w:type="character" w:styleId="1740">
    <w:name w:val="JT:"/>
    <w:next w:val="1740"/>
    <w:link w:val="1711"/>
    <w:pPr>
      <w:pBdr/>
      <w:spacing/>
      <w:ind/>
    </w:pPr>
    <w:rPr>
      <w:i/>
      <w:iCs/>
    </w:rPr>
  </w:style>
  <w:style w:type="paragraph" w:styleId="1741">
    <w:name w:val="Header"/>
    <w:basedOn w:val="1742"/>
    <w:next w:val="1743"/>
    <w:link w:val="1744"/>
    <w:uiPriority w:val="99"/>
    <w:pPr>
      <w:pBdr/>
      <w:tabs>
        <w:tab w:val="right" w:leader="none" w:pos="6379"/>
        <w:tab w:val="clear" w:leader="none" w:pos="8640"/>
      </w:tabs>
      <w:spacing/>
      <w:ind w:right="28" w:firstLine="0"/>
      <w:jc w:val="right"/>
    </w:pPr>
    <w:rPr>
      <w:rFonts w:ascii="New Century Schoolbook" w:hAnsi="New Century Schoolbook"/>
      <w:i/>
      <w:sz w:val="20"/>
      <w:szCs w:val="20"/>
    </w:rPr>
  </w:style>
  <w:style w:type="paragraph" w:styleId="1742">
    <w:name w:val="Footer"/>
    <w:basedOn w:val="1711"/>
    <w:next w:val="1742"/>
    <w:link w:val="1711"/>
    <w:pPr>
      <w:pBdr/>
      <w:tabs>
        <w:tab w:val="center" w:leader="none" w:pos="4320"/>
        <w:tab w:val="right" w:leader="none" w:pos="8640"/>
      </w:tabs>
      <w:spacing/>
      <w:ind/>
    </w:pPr>
  </w:style>
  <w:style w:type="paragraph" w:styleId="1743">
    <w:name w:val="Header2"/>
    <w:basedOn w:val="1741"/>
    <w:next w:val="1743"/>
    <w:link w:val="1711"/>
    <w:pPr>
      <w:pBdr/>
      <w:tabs>
        <w:tab w:val="left" w:leader="none" w:pos="5954"/>
      </w:tabs>
      <w:spacing/>
      <w:ind/>
    </w:pPr>
    <w:rPr>
      <w:lang w:val="en-US"/>
    </w:rPr>
  </w:style>
  <w:style w:type="character" w:styleId="1744">
    <w:name w:val="Header Char"/>
    <w:next w:val="1744"/>
    <w:link w:val="1741"/>
    <w:uiPriority w:val="99"/>
    <w:pPr>
      <w:pBdr/>
      <w:spacing/>
      <w:ind/>
    </w:pPr>
    <w:rPr>
      <w:rFonts w:ascii="New Century Schoolbook" w:hAnsi="New Century Schoolbook"/>
      <w:i/>
      <w:lang w:val="ro-RO" w:eastAsia="ro-RO"/>
    </w:rPr>
  </w:style>
  <w:style w:type="paragraph" w:styleId="1745">
    <w:name w:val="HX0"/>
    <w:next w:val="1745"/>
    <w:link w:val="1711"/>
    <w:pPr>
      <w:widowControl w:val="false"/>
      <w:pBdr/>
      <w:spacing/>
      <w:ind/>
    </w:pPr>
    <w:rPr>
      <w:b/>
      <w:bCs/>
      <w:sz w:val="24"/>
      <w:szCs w:val="24"/>
      <w:lang w:val="ro-RO" w:eastAsia="ro-RO" w:bidi="ar-SA"/>
    </w:rPr>
  </w:style>
  <w:style w:type="character" w:styleId="1746">
    <w:name w:val="HX0."/>
    <w:next w:val="1746"/>
    <w:link w:val="1711"/>
    <w:pPr>
      <w:pBdr/>
      <w:spacing/>
      <w:ind/>
    </w:pPr>
  </w:style>
  <w:style w:type="character" w:styleId="1747">
    <w:name w:val="HX1."/>
    <w:next w:val="1747"/>
    <w:link w:val="1711"/>
    <w:pPr>
      <w:pBdr/>
      <w:spacing/>
      <w:ind/>
    </w:pPr>
  </w:style>
  <w:style w:type="character" w:styleId="1748">
    <w:name w:val="HX2."/>
    <w:next w:val="1748"/>
    <w:link w:val="1711"/>
    <w:pPr>
      <w:pBdr/>
      <w:spacing/>
      <w:ind/>
    </w:pPr>
  </w:style>
  <w:style w:type="character" w:styleId="1749">
    <w:name w:val="HX3."/>
    <w:next w:val="1749"/>
    <w:link w:val="1711"/>
    <w:pPr>
      <w:pBdr/>
      <w:spacing/>
      <w:ind/>
    </w:pPr>
  </w:style>
  <w:style w:type="character" w:styleId="1750">
    <w:name w:val="HX4."/>
    <w:next w:val="1750"/>
    <w:link w:val="1711"/>
    <w:pPr>
      <w:pBdr/>
      <w:spacing/>
      <w:ind/>
    </w:pPr>
  </w:style>
  <w:style w:type="character" w:styleId="1751">
    <w:name w:val="HX5."/>
    <w:next w:val="1751"/>
    <w:link w:val="1711"/>
    <w:pPr>
      <w:pBdr/>
      <w:spacing/>
      <w:ind/>
    </w:pPr>
  </w:style>
  <w:style w:type="character" w:styleId="1752">
    <w:name w:val="EX0"/>
    <w:next w:val="1752"/>
    <w:link w:val="1711"/>
    <w:pPr>
      <w:pBdr/>
      <w:spacing/>
      <w:ind/>
    </w:pPr>
  </w:style>
  <w:style w:type="character" w:styleId="1753">
    <w:name w:val="EX1"/>
    <w:next w:val="1753"/>
    <w:link w:val="1711"/>
    <w:pPr>
      <w:pBdr/>
      <w:spacing/>
      <w:ind/>
    </w:pPr>
  </w:style>
  <w:style w:type="character" w:styleId="1754">
    <w:name w:val="EX2"/>
    <w:next w:val="1754"/>
    <w:link w:val="1711"/>
    <w:pPr>
      <w:pBdr/>
      <w:spacing/>
      <w:ind/>
    </w:pPr>
  </w:style>
  <w:style w:type="character" w:styleId="1755">
    <w:name w:val="EX3"/>
    <w:next w:val="1755"/>
    <w:link w:val="1711"/>
    <w:pPr>
      <w:pBdr/>
      <w:spacing/>
      <w:ind/>
    </w:pPr>
  </w:style>
  <w:style w:type="character" w:styleId="1756">
    <w:name w:val="EX4"/>
    <w:next w:val="1756"/>
    <w:link w:val="1711"/>
    <w:pPr>
      <w:pBdr/>
      <w:spacing/>
      <w:ind/>
    </w:pPr>
  </w:style>
  <w:style w:type="character" w:styleId="1757">
    <w:name w:val="EX5"/>
    <w:next w:val="1757"/>
    <w:link w:val="1711"/>
    <w:pPr>
      <w:pBdr/>
      <w:spacing/>
      <w:ind/>
    </w:pPr>
  </w:style>
  <w:style w:type="character" w:styleId="1758">
    <w:name w:val="Page Number"/>
    <w:next w:val="1758"/>
    <w:link w:val="1711"/>
    <w:pPr>
      <w:pBdr/>
      <w:spacing/>
      <w:ind/>
    </w:pPr>
    <w:rPr>
      <w:rFonts w:ascii="New Century Schoolbook" w:hAnsi="New Century Schoolbook"/>
      <w:sz w:val="18"/>
    </w:rPr>
  </w:style>
  <w:style w:type="paragraph" w:styleId="1759">
    <w:name w:val="ch. head"/>
    <w:basedOn w:val="1733"/>
    <w:next w:val="1711"/>
    <w:link w:val="1760"/>
    <w:pPr>
      <w:pBdr/>
      <w:spacing/>
      <w:ind/>
    </w:pPr>
    <w:rPr>
      <w:rFonts w:ascii="New Century Schoolbook" w:hAnsi="New Century Schoolbook"/>
      <w:b/>
      <w:smallCaps/>
      <w:sz w:val="24"/>
    </w:rPr>
  </w:style>
  <w:style w:type="character" w:styleId="1760">
    <w:name w:val="ch. head Char"/>
    <w:next w:val="1760"/>
    <w:link w:val="1759"/>
    <w:pPr>
      <w:pBdr/>
      <w:spacing/>
      <w:ind/>
    </w:pPr>
    <w:rPr>
      <w:rFonts w:ascii="New Century Schoolbook" w:hAnsi="New Century Schoolbook"/>
      <w:b/>
      <w:smallCaps/>
      <w:sz w:val="24"/>
      <w:szCs w:val="24"/>
      <w:lang w:val="ro-RO" w:eastAsia="ro-RO" w:bidi="ar-SA"/>
    </w:rPr>
  </w:style>
  <w:style w:type="paragraph" w:styleId="1761">
    <w:name w:val="Style Justified"/>
    <w:basedOn w:val="1711"/>
    <w:next w:val="1761"/>
    <w:link w:val="1797"/>
    <w:pPr>
      <w:pBdr/>
      <w:spacing w:line="240" w:lineRule="exact"/>
      <w:ind w:firstLine="57"/>
    </w:pPr>
    <w:rPr>
      <w:rFonts w:ascii="New Century Schoolbook" w:hAnsi="New Century Schoolbook"/>
      <w:sz w:val="22"/>
      <w:szCs w:val="22"/>
    </w:rPr>
  </w:style>
  <w:style w:type="paragraph" w:styleId="1762">
    <w:name w:val="Index 1"/>
    <w:basedOn w:val="1711"/>
    <w:next w:val="1711"/>
    <w:link w:val="1711"/>
    <w:uiPriority w:val="99"/>
    <w:pPr>
      <w:pBdr/>
      <w:spacing/>
      <w:ind w:hanging="240" w:left="240"/>
      <w:jc w:val="left"/>
    </w:pPr>
    <w:rPr>
      <w:rFonts w:ascii="Calibri" w:hAnsi="Calibri"/>
      <w:sz w:val="18"/>
      <w:szCs w:val="18"/>
    </w:rPr>
  </w:style>
  <w:style w:type="paragraph" w:styleId="1763">
    <w:name w:val="Index 2"/>
    <w:basedOn w:val="1711"/>
    <w:next w:val="1711"/>
    <w:link w:val="1711"/>
    <w:uiPriority w:val="99"/>
    <w:pPr>
      <w:pBdr/>
      <w:spacing/>
      <w:ind w:hanging="240" w:left="480"/>
      <w:jc w:val="left"/>
    </w:pPr>
    <w:rPr>
      <w:rFonts w:ascii="Calibri" w:hAnsi="Calibri"/>
      <w:sz w:val="18"/>
      <w:szCs w:val="18"/>
    </w:rPr>
  </w:style>
  <w:style w:type="paragraph" w:styleId="1764">
    <w:name w:val="Index 3"/>
    <w:basedOn w:val="1711"/>
    <w:next w:val="1711"/>
    <w:link w:val="1711"/>
    <w:pPr>
      <w:pBdr/>
      <w:spacing/>
      <w:ind w:hanging="240" w:left="720"/>
      <w:jc w:val="left"/>
    </w:pPr>
    <w:rPr>
      <w:rFonts w:ascii="Calibri" w:hAnsi="Calibri"/>
      <w:sz w:val="18"/>
      <w:szCs w:val="18"/>
    </w:rPr>
  </w:style>
  <w:style w:type="paragraph" w:styleId="1765">
    <w:name w:val="Index 4"/>
    <w:basedOn w:val="1711"/>
    <w:next w:val="1711"/>
    <w:link w:val="1711"/>
    <w:pPr>
      <w:pBdr/>
      <w:spacing/>
      <w:ind w:hanging="240" w:left="960"/>
      <w:jc w:val="left"/>
    </w:pPr>
    <w:rPr>
      <w:rFonts w:ascii="Calibri" w:hAnsi="Calibri"/>
      <w:sz w:val="18"/>
      <w:szCs w:val="18"/>
    </w:rPr>
  </w:style>
  <w:style w:type="paragraph" w:styleId="1766">
    <w:name w:val="Index 5"/>
    <w:basedOn w:val="1711"/>
    <w:next w:val="1711"/>
    <w:link w:val="1711"/>
    <w:pPr>
      <w:pBdr/>
      <w:spacing/>
      <w:ind w:hanging="240" w:left="1200"/>
      <w:jc w:val="left"/>
    </w:pPr>
    <w:rPr>
      <w:rFonts w:ascii="Calibri" w:hAnsi="Calibri"/>
      <w:sz w:val="18"/>
      <w:szCs w:val="18"/>
    </w:rPr>
  </w:style>
  <w:style w:type="paragraph" w:styleId="1767">
    <w:name w:val="Index 6"/>
    <w:basedOn w:val="1711"/>
    <w:next w:val="1711"/>
    <w:link w:val="1711"/>
    <w:pPr>
      <w:pBdr/>
      <w:spacing/>
      <w:ind w:hanging="240" w:left="1440"/>
      <w:jc w:val="left"/>
    </w:pPr>
    <w:rPr>
      <w:rFonts w:ascii="Calibri" w:hAnsi="Calibri"/>
      <w:sz w:val="18"/>
      <w:szCs w:val="18"/>
    </w:rPr>
  </w:style>
  <w:style w:type="paragraph" w:styleId="1768">
    <w:name w:val="Index 7"/>
    <w:basedOn w:val="1711"/>
    <w:next w:val="1711"/>
    <w:link w:val="1711"/>
    <w:pPr>
      <w:pBdr/>
      <w:spacing/>
      <w:ind w:hanging="240" w:left="1680"/>
      <w:jc w:val="left"/>
    </w:pPr>
    <w:rPr>
      <w:rFonts w:ascii="Calibri" w:hAnsi="Calibri"/>
      <w:sz w:val="18"/>
      <w:szCs w:val="18"/>
    </w:rPr>
  </w:style>
  <w:style w:type="paragraph" w:styleId="1769">
    <w:name w:val="TOA Heading"/>
    <w:basedOn w:val="1711"/>
    <w:next w:val="1711"/>
    <w:link w:val="1711"/>
    <w:pPr>
      <w:pBdr/>
      <w:spacing w:before="120"/>
      <w:ind/>
    </w:pPr>
    <w:rPr>
      <w:rFonts w:ascii="Arial" w:hAnsi="Arial" w:cs="Arial"/>
      <w:b/>
      <w:bCs/>
    </w:rPr>
  </w:style>
  <w:style w:type="paragraph" w:styleId="1770">
    <w:name w:val="toc 1"/>
    <w:basedOn w:val="1711"/>
    <w:next w:val="1711"/>
    <w:link w:val="1711"/>
    <w:uiPriority w:val="39"/>
    <w:pPr>
      <w:pBdr/>
      <w:tabs>
        <w:tab w:val="right" w:leader="dot" w:pos="6397"/>
      </w:tabs>
      <w:spacing w:after="120" w:before="120"/>
      <w:ind w:firstLine="0"/>
    </w:pPr>
    <w:rPr>
      <w:b/>
      <w:bCs/>
      <w:caps/>
      <w:sz w:val="20"/>
    </w:rPr>
  </w:style>
  <w:style w:type="paragraph" w:styleId="1771">
    <w:name w:val="toc 2"/>
    <w:basedOn w:val="1711"/>
    <w:next w:val="1711"/>
    <w:link w:val="1711"/>
    <w:uiPriority w:val="39"/>
    <w:pPr>
      <w:pBdr/>
      <w:spacing/>
      <w:ind w:left="240"/>
    </w:pPr>
    <w:rPr>
      <w:smallCaps/>
      <w:sz w:val="20"/>
    </w:rPr>
  </w:style>
  <w:style w:type="paragraph" w:styleId="1772">
    <w:name w:val="toc 3"/>
    <w:basedOn w:val="1711"/>
    <w:next w:val="1711"/>
    <w:link w:val="1711"/>
    <w:uiPriority w:val="39"/>
    <w:pPr>
      <w:pBdr/>
      <w:spacing/>
      <w:ind w:left="480"/>
    </w:pPr>
    <w:rPr>
      <w:i/>
      <w:iCs/>
      <w:sz w:val="20"/>
    </w:rPr>
  </w:style>
  <w:style w:type="paragraph" w:styleId="1773">
    <w:name w:val="toc 4"/>
    <w:basedOn w:val="1711"/>
    <w:next w:val="1711"/>
    <w:link w:val="1711"/>
    <w:pPr>
      <w:pBdr/>
      <w:spacing/>
      <w:ind w:left="720"/>
    </w:pPr>
    <w:rPr>
      <w:sz w:val="18"/>
      <w:szCs w:val="21"/>
    </w:rPr>
  </w:style>
  <w:style w:type="paragraph" w:styleId="1774">
    <w:name w:val="toc 5"/>
    <w:basedOn w:val="1711"/>
    <w:next w:val="1711"/>
    <w:link w:val="1711"/>
    <w:pPr>
      <w:pBdr/>
      <w:spacing/>
      <w:ind w:left="960"/>
    </w:pPr>
    <w:rPr>
      <w:sz w:val="18"/>
      <w:szCs w:val="21"/>
    </w:rPr>
  </w:style>
  <w:style w:type="paragraph" w:styleId="1775">
    <w:name w:val="toc 6"/>
    <w:basedOn w:val="1711"/>
    <w:next w:val="1711"/>
    <w:link w:val="1711"/>
    <w:pPr>
      <w:pBdr/>
      <w:spacing/>
      <w:ind w:left="1200"/>
    </w:pPr>
    <w:rPr>
      <w:sz w:val="18"/>
      <w:szCs w:val="21"/>
    </w:rPr>
  </w:style>
  <w:style w:type="paragraph" w:styleId="1776">
    <w:name w:val="toc 7"/>
    <w:basedOn w:val="1711"/>
    <w:next w:val="1711"/>
    <w:link w:val="1711"/>
    <w:pPr>
      <w:pBdr/>
      <w:spacing/>
      <w:ind w:left="1440"/>
    </w:pPr>
    <w:rPr>
      <w:sz w:val="18"/>
      <w:szCs w:val="21"/>
    </w:rPr>
  </w:style>
  <w:style w:type="paragraph" w:styleId="1777">
    <w:name w:val="toc 8"/>
    <w:basedOn w:val="1711"/>
    <w:next w:val="1711"/>
    <w:link w:val="1711"/>
    <w:pPr>
      <w:pBdr/>
      <w:spacing/>
      <w:ind w:left="1680"/>
    </w:pPr>
    <w:rPr>
      <w:sz w:val="18"/>
      <w:szCs w:val="21"/>
    </w:rPr>
  </w:style>
  <w:style w:type="paragraph" w:styleId="1778">
    <w:name w:val="toc 9"/>
    <w:basedOn w:val="1711"/>
    <w:next w:val="1711"/>
    <w:link w:val="1711"/>
    <w:pPr>
      <w:pBdr/>
      <w:spacing/>
      <w:ind w:left="1920"/>
    </w:pPr>
    <w:rPr>
      <w:sz w:val="18"/>
      <w:szCs w:val="21"/>
    </w:rPr>
  </w:style>
  <w:style w:type="character" w:styleId="1779">
    <w:name w:val="Line Number"/>
    <w:basedOn w:val="1719"/>
    <w:next w:val="1779"/>
    <w:link w:val="1711"/>
    <w:pPr>
      <w:pBdr/>
      <w:spacing/>
      <w:ind/>
    </w:pPr>
  </w:style>
  <w:style w:type="paragraph" w:styleId="1780">
    <w:name w:val="Style Justified First line:  4 mm char"/>
    <w:basedOn w:val="1711"/>
    <w:next w:val="1780"/>
    <w:link w:val="1781"/>
    <w:pPr>
      <w:pBdr/>
      <w:spacing w:line="220" w:lineRule="exact"/>
      <w:ind w:right="227" w:left="227"/>
    </w:pPr>
    <w:rPr>
      <w:rFonts w:ascii="New Century Schoolbook" w:hAnsi="New Century Schoolbook"/>
      <w:sz w:val="22"/>
    </w:rPr>
  </w:style>
  <w:style w:type="character" w:styleId="1781">
    <w:name w:val="Style Justified First line:  4 mm char Char"/>
    <w:next w:val="1781"/>
    <w:link w:val="1780"/>
    <w:pPr>
      <w:pBdr/>
      <w:spacing/>
      <w:ind/>
    </w:pPr>
    <w:rPr>
      <w:rFonts w:ascii="New Century Schoolbook" w:hAnsi="New Century Schoolbook"/>
      <w:sz w:val="22"/>
      <w:szCs w:val="24"/>
      <w:lang w:val="ro-RO" w:eastAsia="ro-RO" w:bidi="ar-SA"/>
    </w:rPr>
  </w:style>
  <w:style w:type="paragraph" w:styleId="1782">
    <w:name w:val="Style New Century Schoolbook Justified"/>
    <w:basedOn w:val="1711"/>
    <w:next w:val="1782"/>
    <w:link w:val="1796"/>
    <w:pPr>
      <w:pBdr/>
      <w:spacing w:line="240" w:lineRule="exact"/>
      <w:ind/>
      <w:jc w:val="left"/>
    </w:pPr>
    <w:rPr>
      <w:rFonts w:ascii="New Century Schoolbook" w:hAnsi="New Century Schoolbook"/>
      <w:sz w:val="22"/>
      <w:szCs w:val="22"/>
      <w:lang w:val="en-US"/>
    </w:rPr>
  </w:style>
  <w:style w:type="paragraph" w:styleId="1783">
    <w:name w:val="Style NX + First line:  4 mm"/>
    <w:basedOn w:val="1725"/>
    <w:next w:val="1783"/>
    <w:link w:val="1711"/>
    <w:pPr>
      <w:pBdr/>
      <w:spacing/>
      <w:ind w:firstLine="227"/>
    </w:pPr>
  </w:style>
  <w:style w:type="character" w:styleId="1784">
    <w:name w:val="Hyperlink"/>
    <w:next w:val="1784"/>
    <w:link w:val="1711"/>
    <w:uiPriority w:val="99"/>
    <w:pPr>
      <w:pBdr/>
      <w:spacing/>
      <w:ind/>
    </w:pPr>
    <w:rPr>
      <w:color w:val="0000ff"/>
      <w:u w:val="single"/>
    </w:rPr>
  </w:style>
  <w:style w:type="character" w:styleId="1785">
    <w:name w:val="Footnote Text Char"/>
    <w:next w:val="1785"/>
    <w:link w:val="1731"/>
    <w:pPr>
      <w:pBdr/>
      <w:spacing/>
      <w:ind/>
    </w:pPr>
    <w:rPr>
      <w:rFonts w:ascii="New Century Schoolbook" w:hAnsi="New Century Schoolbook"/>
      <w:lang w:val="ro-RO" w:eastAsia="ro-RO" w:bidi="ar-SA"/>
    </w:rPr>
  </w:style>
  <w:style w:type="character" w:styleId="1786">
    <w:name w:val="Comment Reference"/>
    <w:next w:val="1786"/>
    <w:link w:val="1711"/>
    <w:semiHidden/>
    <w:pPr>
      <w:pBdr/>
      <w:spacing/>
      <w:ind/>
    </w:pPr>
    <w:rPr>
      <w:sz w:val="16"/>
      <w:szCs w:val="16"/>
    </w:rPr>
  </w:style>
  <w:style w:type="paragraph" w:styleId="1787">
    <w:name w:val="Comment Text"/>
    <w:basedOn w:val="1711"/>
    <w:next w:val="1787"/>
    <w:link w:val="1711"/>
    <w:semiHidden/>
    <w:pPr>
      <w:pBdr/>
      <w:spacing/>
      <w:ind/>
    </w:pPr>
    <w:rPr>
      <w:sz w:val="20"/>
      <w:szCs w:val="20"/>
    </w:rPr>
  </w:style>
  <w:style w:type="paragraph" w:styleId="1788">
    <w:name w:val="Comment Subject"/>
    <w:basedOn w:val="1787"/>
    <w:next w:val="1787"/>
    <w:link w:val="1711"/>
    <w:semiHidden/>
    <w:pPr>
      <w:pBdr/>
      <w:spacing/>
      <w:ind/>
    </w:pPr>
    <w:rPr>
      <w:b/>
      <w:bCs/>
    </w:rPr>
  </w:style>
  <w:style w:type="paragraph" w:styleId="1789">
    <w:name w:val="Balloon Text"/>
    <w:basedOn w:val="1711"/>
    <w:next w:val="1789"/>
    <w:link w:val="1711"/>
    <w:semiHidden/>
    <w:pPr>
      <w:pBdr/>
      <w:spacing/>
      <w:ind/>
    </w:pPr>
    <w:rPr>
      <w:rFonts w:ascii="Tahoma" w:hAnsi="Tahoma" w:cs="Tahoma"/>
      <w:sz w:val="16"/>
      <w:szCs w:val="16"/>
    </w:rPr>
  </w:style>
  <w:style w:type="paragraph" w:styleId="1790">
    <w:name w:val="Index 8"/>
    <w:basedOn w:val="1711"/>
    <w:next w:val="1711"/>
    <w:link w:val="1711"/>
    <w:semiHidden/>
    <w:pPr>
      <w:pBdr/>
      <w:spacing/>
      <w:ind w:hanging="240" w:left="1920"/>
      <w:jc w:val="left"/>
    </w:pPr>
    <w:rPr>
      <w:rFonts w:ascii="Calibri" w:hAnsi="Calibri"/>
      <w:sz w:val="18"/>
      <w:szCs w:val="18"/>
    </w:rPr>
  </w:style>
  <w:style w:type="paragraph" w:styleId="1791">
    <w:name w:val="Index 9"/>
    <w:basedOn w:val="1711"/>
    <w:next w:val="1711"/>
    <w:link w:val="1711"/>
    <w:semiHidden/>
    <w:pPr>
      <w:pBdr/>
      <w:spacing/>
      <w:ind w:hanging="240" w:left="2160"/>
      <w:jc w:val="left"/>
    </w:pPr>
    <w:rPr>
      <w:rFonts w:ascii="Calibri" w:hAnsi="Calibri"/>
      <w:sz w:val="18"/>
      <w:szCs w:val="18"/>
    </w:rPr>
  </w:style>
  <w:style w:type="paragraph" w:styleId="1792">
    <w:name w:val="Index Heading"/>
    <w:basedOn w:val="1711"/>
    <w:next w:val="1762"/>
    <w:link w:val="1711"/>
    <w:uiPriority w:val="99"/>
    <w:semiHidden/>
    <w:pPr>
      <w:pBdr/>
      <w:spacing w:after="120" w:before="240"/>
      <w:ind/>
      <w:jc w:val="center"/>
    </w:pPr>
    <w:rPr>
      <w:rFonts w:ascii="Calibri" w:hAnsi="Calibri"/>
      <w:b/>
      <w:bCs/>
      <w:sz w:val="26"/>
      <w:szCs w:val="26"/>
    </w:rPr>
  </w:style>
  <w:style w:type="character" w:styleId="1793">
    <w:name w:val="Heading 3 Char1"/>
    <w:next w:val="1793"/>
    <w:link w:val="1714"/>
    <w:pPr>
      <w:pBdr/>
      <w:spacing/>
      <w:ind/>
    </w:pPr>
    <w:rPr>
      <w:rFonts w:ascii="Palatino Linotype" w:hAnsi="Palatino Linotype" w:cs="Arial"/>
      <w:b/>
      <w:sz w:val="24"/>
      <w:szCs w:val="24"/>
      <w:lang w:val="fr-FR" w:eastAsia="ro-RO" w:bidi="ar-SA"/>
    </w:rPr>
  </w:style>
  <w:style w:type="paragraph" w:styleId="1794">
    <w:name w:val="Style Justified First line:  4 mm Char Char"/>
    <w:basedOn w:val="1711"/>
    <w:next w:val="1794"/>
    <w:link w:val="1795"/>
    <w:pPr>
      <w:pBdr/>
      <w:spacing/>
      <w:ind w:firstLine="227"/>
      <w:jc w:val="left"/>
    </w:pPr>
    <w:rPr>
      <w:rFonts w:ascii="New Century Schoolbook" w:hAnsi="New Century Schoolbook"/>
      <w:sz w:val="22"/>
      <w:lang w:val="en-US"/>
    </w:rPr>
  </w:style>
  <w:style w:type="character" w:styleId="1795">
    <w:name w:val="Style Justified First line:  4 mm Char Char Char"/>
    <w:next w:val="1795"/>
    <w:link w:val="1794"/>
    <w:pPr>
      <w:pBdr/>
      <w:spacing/>
      <w:ind/>
    </w:pPr>
    <w:rPr>
      <w:rFonts w:ascii="New Century Schoolbook" w:hAnsi="New Century Schoolbook"/>
      <w:sz w:val="22"/>
      <w:szCs w:val="24"/>
      <w:lang w:val="en-US" w:eastAsia="ro-RO" w:bidi="ar-SA"/>
    </w:rPr>
  </w:style>
  <w:style w:type="character" w:styleId="1796">
    <w:name w:val="Style New Century Schoolbook Justified Char"/>
    <w:next w:val="1796"/>
    <w:link w:val="1782"/>
    <w:pPr>
      <w:pBdr/>
      <w:spacing/>
      <w:ind/>
    </w:pPr>
    <w:rPr>
      <w:rFonts w:ascii="New Century Schoolbook" w:hAnsi="New Century Schoolbook"/>
      <w:sz w:val="22"/>
      <w:szCs w:val="22"/>
      <w:lang w:val="en-US" w:eastAsia="ro-RO" w:bidi="ar-SA"/>
    </w:rPr>
  </w:style>
  <w:style w:type="character" w:styleId="1797">
    <w:name w:val="Style Justified Char"/>
    <w:next w:val="1797"/>
    <w:link w:val="1761"/>
    <w:pPr>
      <w:pBdr/>
      <w:spacing/>
      <w:ind/>
    </w:pPr>
    <w:rPr>
      <w:rFonts w:ascii="New Century Schoolbook" w:hAnsi="New Century Schoolbook"/>
      <w:sz w:val="22"/>
      <w:szCs w:val="22"/>
      <w:lang w:val="ro-RO" w:eastAsia="ro-RO" w:bidi="ar-SA"/>
    </w:rPr>
  </w:style>
  <w:style w:type="paragraph" w:styleId="1798">
    <w:name w:val="Style Heading 6 + Not Bold Italic"/>
    <w:basedOn w:val="1717"/>
    <w:next w:val="1798"/>
    <w:link w:val="1711"/>
    <w:pPr>
      <w:pBdr/>
      <w:spacing/>
      <w:ind/>
    </w:pPr>
    <w:rPr>
      <w:rFonts w:ascii="New Century Schoolbook" w:hAnsi="New Century Schoolbook"/>
      <w:b w:val="0"/>
      <w:bCs w:val="0"/>
      <w:i/>
      <w:iCs/>
    </w:rPr>
  </w:style>
  <w:style w:type="paragraph" w:styleId="1799">
    <w:name w:val="Body Text 2"/>
    <w:basedOn w:val="1711"/>
    <w:next w:val="1799"/>
    <w:link w:val="1811"/>
    <w:pPr>
      <w:pBdr/>
      <w:spacing w:after="120" w:line="480" w:lineRule="auto"/>
      <w:ind/>
    </w:pPr>
  </w:style>
  <w:style w:type="paragraph" w:styleId="1800">
    <w:name w:val="Block Text"/>
    <w:basedOn w:val="1711"/>
    <w:next w:val="1806"/>
    <w:link w:val="1711"/>
    <w:qFormat/>
    <w:pPr>
      <w:pBdr/>
      <w:spacing w:line="220" w:lineRule="atLeast"/>
      <w:ind w:right="576" w:firstLine="0" w:left="576"/>
    </w:pPr>
    <w:rPr>
      <w:sz w:val="22"/>
      <w:szCs w:val="22"/>
    </w:rPr>
  </w:style>
  <w:style w:type="paragraph" w:styleId="1801">
    <w:name w:val="Body Text Indent"/>
    <w:basedOn w:val="1711"/>
    <w:next w:val="1801"/>
    <w:link w:val="1814"/>
    <w:pPr>
      <w:pBdr/>
      <w:spacing w:after="120"/>
      <w:ind w:left="360"/>
    </w:pPr>
  </w:style>
  <w:style w:type="paragraph" w:styleId="1802">
    <w:name w:val="Body Text First Indent 2"/>
    <w:basedOn w:val="1801"/>
    <w:next w:val="1802"/>
    <w:link w:val="1853"/>
    <w:pPr>
      <w:pBdr/>
      <w:spacing/>
      <w:ind w:firstLine="210"/>
    </w:pPr>
  </w:style>
  <w:style w:type="character" w:styleId="1803">
    <w:name w:val="Strong"/>
    <w:next w:val="1803"/>
    <w:link w:val="1711"/>
    <w:qFormat/>
    <w:pPr>
      <w:pBdr/>
      <w:spacing/>
      <w:ind/>
    </w:pPr>
    <w:rPr>
      <w:b/>
      <w:bCs/>
    </w:rPr>
  </w:style>
  <w:style w:type="character" w:styleId="1804">
    <w:name w:val="Style Justified First line:  4 mm Char1"/>
    <w:next w:val="1804"/>
    <w:link w:val="1711"/>
    <w:pPr>
      <w:pBdr/>
      <w:spacing/>
      <w:ind/>
    </w:pPr>
    <w:rPr>
      <w:rFonts w:ascii="New Century Schoolbook" w:hAnsi="New Century Schoolbook"/>
      <w:sz w:val="22"/>
      <w:szCs w:val="24"/>
      <w:lang w:val="en-US" w:eastAsia="ro-RO" w:bidi="ar-SA"/>
    </w:rPr>
  </w:style>
  <w:style w:type="character" w:styleId="1805">
    <w:name w:val="Footnote Text Char1"/>
    <w:next w:val="1805"/>
    <w:link w:val="1711"/>
    <w:pPr>
      <w:pBdr/>
      <w:spacing/>
      <w:ind/>
    </w:pPr>
    <w:rPr>
      <w:rFonts w:ascii="New Century Schoolbook" w:hAnsi="New Century Schoolbook"/>
      <w:sz w:val="18"/>
      <w:lang w:val="ro-RO" w:eastAsia="ro-RO" w:bidi="ar-SA"/>
    </w:rPr>
  </w:style>
  <w:style w:type="paragraph" w:styleId="1806">
    <w:name w:val="Style Justified First line:  4 mm"/>
    <w:basedOn w:val="1711"/>
    <w:next w:val="1806"/>
    <w:link w:val="1815"/>
    <w:pPr>
      <w:pBdr/>
      <w:spacing w:line="240" w:lineRule="exact"/>
      <w:ind w:firstLine="227"/>
    </w:pPr>
    <w:rPr>
      <w:rFonts w:ascii="New Century Schoolbook" w:hAnsi="New Century Schoolbook"/>
      <w:sz w:val="22"/>
      <w:szCs w:val="22"/>
      <w:lang w:val="en-US"/>
    </w:rPr>
  </w:style>
  <w:style w:type="character" w:styleId="1807">
    <w:name w:val="Style Justified First line:  4 mm Char Char Char1"/>
    <w:next w:val="1807"/>
    <w:link w:val="1711"/>
    <w:pPr>
      <w:pBdr/>
      <w:spacing/>
      <w:ind/>
    </w:pPr>
    <w:rPr>
      <w:rFonts w:ascii="New Century Schoolbook" w:hAnsi="New Century Schoolbook"/>
      <w:sz w:val="22"/>
      <w:szCs w:val="24"/>
      <w:lang w:val="ro-RO" w:eastAsia="ro-RO" w:bidi="ar-SA"/>
    </w:rPr>
  </w:style>
  <w:style w:type="character" w:styleId="1808">
    <w:name w:val="Footnote Text Char2"/>
    <w:next w:val="1808"/>
    <w:link w:val="1711"/>
    <w:pPr>
      <w:pBdr/>
      <w:spacing/>
      <w:ind/>
    </w:pPr>
    <w:rPr>
      <w:rFonts w:ascii="New Century Schoolbook" w:hAnsi="New Century Schoolbook"/>
      <w:sz w:val="18"/>
      <w:lang w:val="ro-RO" w:eastAsia="ro-RO" w:bidi="ar-SA"/>
    </w:rPr>
  </w:style>
  <w:style w:type="paragraph" w:styleId="1809">
    <w:name w:val="Title Book"/>
    <w:basedOn w:val="1712"/>
    <w:next w:val="1809"/>
    <w:link w:val="1711"/>
    <w:pPr>
      <w:pBdr/>
      <w:spacing/>
      <w:ind/>
      <w:jc w:val="left"/>
    </w:pPr>
    <w:rPr>
      <w:sz w:val="32"/>
      <w:szCs w:val="32"/>
      <w:lang w:val="fr-FR"/>
    </w:rPr>
  </w:style>
  <w:style w:type="paragraph" w:styleId="1810">
    <w:name w:val="Title book"/>
    <w:basedOn w:val="1809"/>
    <w:next w:val="1810"/>
    <w:link w:val="1711"/>
    <w:pPr>
      <w:pBdr/>
      <w:spacing/>
      <w:ind/>
    </w:pPr>
  </w:style>
  <w:style w:type="character" w:styleId="1811">
    <w:name w:val="Body Text 2 Char"/>
    <w:next w:val="1811"/>
    <w:link w:val="1799"/>
    <w:pPr>
      <w:pBdr/>
      <w:spacing/>
      <w:ind/>
    </w:pPr>
    <w:rPr>
      <w:sz w:val="24"/>
      <w:szCs w:val="24"/>
      <w:lang w:val="ro-RO" w:eastAsia="ro-RO" w:bidi="ar-SA"/>
    </w:rPr>
  </w:style>
  <w:style w:type="paragraph" w:styleId="1812">
    <w:name w:val="Body Text 3"/>
    <w:basedOn w:val="1711"/>
    <w:next w:val="1812"/>
    <w:link w:val="1813"/>
    <w:pPr>
      <w:pBdr/>
      <w:spacing w:after="120"/>
      <w:ind/>
    </w:pPr>
    <w:rPr>
      <w:sz w:val="16"/>
      <w:szCs w:val="16"/>
    </w:rPr>
  </w:style>
  <w:style w:type="character" w:styleId="1813">
    <w:name w:val="Body Text 3 Char"/>
    <w:next w:val="1813"/>
    <w:link w:val="1812"/>
    <w:pPr>
      <w:pBdr/>
      <w:spacing/>
      <w:ind/>
    </w:pPr>
    <w:rPr>
      <w:sz w:val="16"/>
      <w:szCs w:val="16"/>
      <w:lang w:val="ro-RO" w:eastAsia="ro-RO" w:bidi="ar-SA"/>
    </w:rPr>
  </w:style>
  <w:style w:type="character" w:styleId="1814">
    <w:name w:val="Body Text Indent Char"/>
    <w:next w:val="1814"/>
    <w:link w:val="1801"/>
    <w:pPr>
      <w:pBdr/>
      <w:spacing/>
      <w:ind/>
    </w:pPr>
    <w:rPr>
      <w:sz w:val="24"/>
      <w:szCs w:val="24"/>
      <w:lang w:val="ro-RO" w:eastAsia="ro-RO" w:bidi="ar-SA"/>
    </w:rPr>
  </w:style>
  <w:style w:type="character" w:styleId="1815">
    <w:name w:val="Style Justified First line:  4 mm Char"/>
    <w:next w:val="1815"/>
    <w:link w:val="1806"/>
    <w:pPr>
      <w:pBdr/>
      <w:spacing/>
      <w:ind/>
    </w:pPr>
    <w:rPr>
      <w:rFonts w:ascii="New Century Schoolbook" w:hAnsi="New Century Schoolbook"/>
      <w:sz w:val="22"/>
      <w:szCs w:val="22"/>
      <w:lang w:val="en-US" w:eastAsia="ro-RO" w:bidi="ar-SA"/>
    </w:rPr>
  </w:style>
  <w:style w:type="character" w:styleId="1816">
    <w:name w:val="Id matter Char"/>
    <w:next w:val="1816"/>
    <w:link w:val="1818"/>
    <w:pPr>
      <w:pBdr/>
      <w:spacing/>
      <w:ind/>
    </w:pPr>
    <w:rPr>
      <w:rFonts w:ascii="New Century Schoolbook" w:hAnsi="New Century Schoolbook"/>
      <w:lang w:val="en-US" w:eastAsia="ro-RO" w:bidi="ar-SA"/>
    </w:rPr>
  </w:style>
  <w:style w:type="paragraph" w:styleId="1817">
    <w:name w:val="Style1"/>
    <w:basedOn w:val="1782"/>
    <w:next w:val="1782"/>
    <w:link w:val="1711"/>
    <w:pPr>
      <w:pBdr/>
      <w:spacing/>
      <w:ind w:right="227" w:left="227"/>
    </w:pPr>
    <w:rPr>
      <w:sz w:val="20"/>
    </w:rPr>
  </w:style>
  <w:style w:type="paragraph" w:styleId="1818">
    <w:name w:val="Id matter"/>
    <w:basedOn w:val="1711"/>
    <w:next w:val="1782"/>
    <w:link w:val="1816"/>
    <w:pPr>
      <w:pBdr/>
      <w:spacing w:line="240" w:lineRule="exact"/>
      <w:ind w:left="227"/>
    </w:pPr>
    <w:rPr>
      <w:rFonts w:ascii="New Century Schoolbook" w:hAnsi="New Century Schoolbook"/>
      <w:sz w:val="20"/>
      <w:szCs w:val="20"/>
      <w:lang w:val="en-US"/>
    </w:rPr>
  </w:style>
  <w:style w:type="paragraph" w:styleId="1819">
    <w:name w:val="Biblio style"/>
    <w:basedOn w:val="1711"/>
    <w:next w:val="1819"/>
    <w:link w:val="1822"/>
    <w:pPr>
      <w:pBdr/>
      <w:tabs>
        <w:tab w:val="left" w:leader="none" w:pos="0"/>
        <w:tab w:val="left" w:leader="none" w:pos="1152"/>
        <w:tab w:val="left" w:leader="none" w:pos="1440"/>
      </w:tabs>
      <w:spacing w:before="40" w:line="220" w:lineRule="exact"/>
      <w:ind w:hanging="227" w:left="227"/>
    </w:pPr>
    <w:rPr>
      <w:rFonts w:ascii="New Century Schoolbook" w:hAnsi="New Century Schoolbook"/>
      <w:sz w:val="18"/>
      <w:szCs w:val="22"/>
      <w:lang w:val="en-US"/>
    </w:rPr>
  </w:style>
  <w:style w:type="character" w:styleId="1820">
    <w:name w:val="Style ET: + New Century Schoolbook 11 pt"/>
    <w:next w:val="1820"/>
    <w:link w:val="1711"/>
    <w:pPr>
      <w:pBdr/>
      <w:spacing/>
      <w:ind/>
    </w:pPr>
    <w:rPr>
      <w:rFonts w:ascii="New Century Schoolbook" w:hAnsi="New Century Schoolbook"/>
      <w:sz w:val="18"/>
      <w:szCs w:val="18"/>
    </w:rPr>
  </w:style>
  <w:style w:type="paragraph" w:styleId="1821">
    <w:name w:val="Style ST: + New Century Schoolbook 11 pt"/>
    <w:basedOn w:val="1819"/>
    <w:next w:val="1819"/>
    <w:link w:val="1823"/>
    <w:pPr>
      <w:pBdr/>
      <w:spacing/>
      <w:ind/>
    </w:pPr>
    <w:rPr>
      <w:szCs w:val="18"/>
    </w:rPr>
  </w:style>
  <w:style w:type="character" w:styleId="1822">
    <w:name w:val="Biblio style Char"/>
    <w:next w:val="1822"/>
    <w:link w:val="1819"/>
    <w:pPr>
      <w:pBdr/>
      <w:spacing/>
      <w:ind/>
    </w:pPr>
    <w:rPr>
      <w:rFonts w:ascii="New Century Schoolbook" w:hAnsi="New Century Schoolbook"/>
      <w:sz w:val="18"/>
      <w:szCs w:val="22"/>
      <w:lang w:val="en-US" w:eastAsia="ro-RO" w:bidi="ar-SA"/>
    </w:rPr>
  </w:style>
  <w:style w:type="character" w:styleId="1823">
    <w:name w:val="Style ST: + New Century Schoolbook 11 pt Char"/>
    <w:next w:val="1823"/>
    <w:link w:val="1821"/>
    <w:pPr>
      <w:pBdr/>
      <w:spacing/>
      <w:ind/>
    </w:pPr>
    <w:rPr>
      <w:rFonts w:ascii="New Century Schoolbook" w:hAnsi="New Century Schoolbook"/>
      <w:sz w:val="18"/>
      <w:szCs w:val="18"/>
      <w:lang w:val="en-US" w:eastAsia="ro-RO" w:bidi="ar-SA"/>
    </w:rPr>
  </w:style>
  <w:style w:type="paragraph" w:styleId="1824">
    <w:name w:val="Style JT: + New Century Schoolbook 11 pt"/>
    <w:basedOn w:val="1819"/>
    <w:next w:val="1819"/>
    <w:link w:val="1825"/>
    <w:pPr>
      <w:pBdr/>
      <w:spacing/>
      <w:ind/>
    </w:pPr>
    <w:rPr>
      <w:i/>
    </w:rPr>
  </w:style>
  <w:style w:type="character" w:styleId="1825">
    <w:name w:val="Style JT: + New Century Schoolbook 11 pt Char"/>
    <w:next w:val="1825"/>
    <w:link w:val="1824"/>
    <w:pPr>
      <w:pBdr/>
      <w:spacing/>
      <w:ind/>
    </w:pPr>
    <w:rPr>
      <w:rFonts w:ascii="New Century Schoolbook" w:hAnsi="New Century Schoolbook"/>
      <w:i/>
      <w:sz w:val="18"/>
      <w:szCs w:val="22"/>
      <w:lang w:val="en-US" w:eastAsia="ro-RO" w:bidi="ar-SA"/>
    </w:rPr>
  </w:style>
  <w:style w:type="paragraph" w:styleId="1826">
    <w:name w:val="Cite"/>
    <w:basedOn w:val="1818"/>
    <w:next w:val="1806"/>
    <w:link w:val="1827"/>
    <w:pPr>
      <w:pBdr/>
      <w:spacing w:line="220" w:lineRule="exact"/>
      <w:ind w:right="227"/>
    </w:pPr>
    <w:rPr>
      <w:sz w:val="18"/>
    </w:rPr>
  </w:style>
  <w:style w:type="character" w:styleId="1827">
    <w:name w:val="Cite Char"/>
    <w:next w:val="1827"/>
    <w:link w:val="1826"/>
    <w:pPr>
      <w:pBdr/>
      <w:spacing/>
      <w:ind/>
    </w:pPr>
    <w:rPr>
      <w:rFonts w:ascii="New Century Schoolbook" w:hAnsi="New Century Schoolbook"/>
      <w:sz w:val="18"/>
      <w:lang w:val="en-US" w:eastAsia="ro-RO" w:bidi="ar-SA"/>
    </w:rPr>
  </w:style>
  <w:style w:type="paragraph" w:styleId="1828">
    <w:name w:val="Prelim half title PBTM"/>
    <w:next w:val="1828"/>
    <w:link w:val="1711"/>
    <w:pPr>
      <w:widowControl w:val="false"/>
      <w:pBdr/>
      <w:spacing w:line="200" w:lineRule="atLeast"/>
      <w:ind/>
      <w:jc w:val="center"/>
    </w:pPr>
    <w:rPr>
      <w:caps/>
      <w:sz w:val="18"/>
      <w:szCs w:val="18"/>
      <w:lang w:val="en-US" w:eastAsia="en-US" w:bidi="ar-SA"/>
    </w:rPr>
  </w:style>
  <w:style w:type="paragraph" w:styleId="1829">
    <w:name w:val="Prelim half title"/>
    <w:next w:val="1829"/>
    <w:link w:val="1711"/>
    <w:pPr>
      <w:widowControl w:val="false"/>
      <w:pBdr/>
      <w:spacing w:after="240" w:before="2440" w:line="480" w:lineRule="exact"/>
      <w:ind/>
      <w:jc w:val="center"/>
    </w:pPr>
    <w:rPr>
      <w:sz w:val="36"/>
      <w:szCs w:val="36"/>
      <w:lang w:val="en-US" w:eastAsia="en-US" w:bidi="ar-SA"/>
    </w:rPr>
  </w:style>
  <w:style w:type="paragraph" w:styleId="1830">
    <w:name w:val="Prelim half title sub"/>
    <w:next w:val="1830"/>
    <w:link w:val="1711"/>
    <w:pPr>
      <w:widowControl w:val="false"/>
      <w:pBdr/>
      <w:spacing w:line="320" w:lineRule="atLeast"/>
      <w:ind/>
      <w:jc w:val="center"/>
    </w:pPr>
    <w:rPr>
      <w:sz w:val="24"/>
      <w:szCs w:val="24"/>
      <w:lang w:val="en-US" w:eastAsia="en-US" w:bidi="ar-SA"/>
    </w:rPr>
  </w:style>
  <w:style w:type="paragraph" w:styleId="1831">
    <w:name w:val="Prelims advert card"/>
    <w:next w:val="1831"/>
    <w:link w:val="1711"/>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1832">
    <w:name w:val="Prelim title author"/>
    <w:next w:val="1832"/>
    <w:link w:val="1711"/>
    <w:pPr>
      <w:widowControl w:val="false"/>
      <w:pBdr/>
      <w:spacing w:before="1280" w:line="320" w:lineRule="atLeast"/>
      <w:ind/>
      <w:jc w:val="center"/>
    </w:pPr>
    <w:rPr>
      <w:sz w:val="28"/>
      <w:szCs w:val="28"/>
      <w:lang w:val="en-US" w:eastAsia="en-US" w:bidi="ar-SA"/>
    </w:rPr>
  </w:style>
  <w:style w:type="paragraph" w:styleId="1833">
    <w:name w:val="Prelim imprint"/>
    <w:next w:val="1833"/>
    <w:link w:val="1711"/>
    <w:pPr>
      <w:widowControl w:val="false"/>
      <w:pBdr/>
      <w:spacing w:line="240" w:lineRule="exact"/>
      <w:ind w:right="238" w:left="238"/>
      <w:jc w:val="center"/>
    </w:pPr>
    <w:rPr>
      <w:sz w:val="18"/>
      <w:szCs w:val="18"/>
      <w:lang w:val="en-US" w:eastAsia="en-US" w:bidi="ar-SA"/>
    </w:rPr>
  </w:style>
  <w:style w:type="paragraph" w:styleId="1834">
    <w:name w:val="Prelim CTT"/>
    <w:next w:val="1834"/>
    <w:link w:val="1711"/>
    <w:pPr>
      <w:widowControl w:val="false"/>
      <w:pBdr/>
      <w:spacing w:after="1360" w:before="920" w:line="280" w:lineRule="atLeast"/>
      <w:ind/>
      <w:jc w:val="center"/>
    </w:pPr>
    <w:rPr>
      <w:b/>
      <w:bCs/>
      <w:sz w:val="28"/>
      <w:szCs w:val="28"/>
      <w:lang w:val="en-US" w:eastAsia="en-US" w:bidi="ar-SA"/>
    </w:rPr>
  </w:style>
  <w:style w:type="paragraph" w:styleId="1835">
    <w:name w:val="Prelim contents list"/>
    <w:next w:val="1835"/>
    <w:link w:val="1711"/>
    <w:pPr>
      <w:widowControl w:val="false"/>
      <w:pBdr/>
      <w:tabs>
        <w:tab w:val="left" w:leader="none" w:pos="680"/>
        <w:tab w:val="right" w:leader="none" w:pos="6406"/>
      </w:tabs>
      <w:spacing w:line="280" w:lineRule="atLeast"/>
      <w:ind/>
    </w:pPr>
    <w:rPr>
      <w:sz w:val="22"/>
      <w:szCs w:val="22"/>
      <w:lang w:val="en-US" w:eastAsia="en-US" w:bidi="ar-SA"/>
    </w:rPr>
  </w:style>
  <w:style w:type="paragraph" w:styleId="1836">
    <w:name w:val="Prelim title foreword"/>
    <w:basedOn w:val="1832"/>
    <w:next w:val="1836"/>
    <w:link w:val="1711"/>
    <w:pPr>
      <w:pBdr/>
      <w:spacing w:before="640" w:line="280" w:lineRule="atLeast"/>
      <w:ind/>
    </w:pPr>
    <w:rPr>
      <w:sz w:val="24"/>
    </w:rPr>
  </w:style>
  <w:style w:type="paragraph" w:styleId="1837">
    <w:name w:val="Opening paragraph"/>
    <w:next w:val="1837"/>
    <w:link w:val="1711"/>
    <w:pPr>
      <w:widowControl w:val="false"/>
      <w:pBdr/>
      <w:spacing w:line="240" w:lineRule="exact"/>
      <w:ind/>
      <w:jc w:val="both"/>
    </w:pPr>
    <w:rPr>
      <w:lang w:val="en-US" w:eastAsia="en-US" w:bidi="ar-SA"/>
    </w:rPr>
  </w:style>
  <w:style w:type="paragraph" w:styleId="1838">
    <w:name w:val="Prelim CTT Small Cap"/>
    <w:basedOn w:val="1834"/>
    <w:next w:val="1838"/>
    <w:link w:val="1711"/>
    <w:pPr>
      <w:pBdr/>
      <w:spacing/>
      <w:ind/>
    </w:pPr>
    <w:rPr>
      <w:smallCaps/>
    </w:rPr>
  </w:style>
  <w:style w:type="paragraph" w:styleId="1839">
    <w:name w:val="Prelim dedication"/>
    <w:basedOn w:val="1711"/>
    <w:next w:val="1839"/>
    <w:link w:val="1711"/>
    <w:pPr>
      <w:pageBreakBefore w:val="true"/>
      <w:widowControl w:val="false"/>
      <w:pBdr/>
      <w:spacing w:before="2360" w:line="280" w:lineRule="exact"/>
      <w:ind w:firstLine="238"/>
      <w:jc w:val="center"/>
    </w:pPr>
    <w:rPr>
      <w:i/>
      <w:sz w:val="22"/>
      <w:lang w:val="en-US" w:eastAsia="en-US"/>
    </w:rPr>
  </w:style>
  <w:style w:type="paragraph" w:styleId="1840">
    <w:name w:val="Prelim contents list B"/>
    <w:basedOn w:val="1835"/>
    <w:next w:val="1840"/>
    <w:link w:val="1711"/>
    <w:pPr>
      <w:pBdr/>
      <w:spacing/>
      <w:ind w:left="284"/>
    </w:pPr>
  </w:style>
  <w:style w:type="paragraph" w:styleId="1841">
    <w:name w:val="Prelim contents list C"/>
    <w:basedOn w:val="1840"/>
    <w:next w:val="1841"/>
    <w:link w:val="1711"/>
    <w:pPr>
      <w:pBdr/>
      <w:spacing/>
      <w:ind w:left="567"/>
    </w:pPr>
    <w:rPr>
      <w:caps/>
    </w:rPr>
  </w:style>
  <w:style w:type="paragraph" w:styleId="1842">
    <w:name w:val="Prelim contents list D"/>
    <w:basedOn w:val="1835"/>
    <w:next w:val="1842"/>
    <w:link w:val="1711"/>
    <w:pPr>
      <w:pBdr/>
      <w:spacing/>
      <w:ind w:left="851"/>
    </w:pPr>
  </w:style>
  <w:style w:type="paragraph" w:styleId="1843">
    <w:name w:val="Main Text (First Paragraph)"/>
    <w:basedOn w:val="1711"/>
    <w:next w:val="1843"/>
    <w:link w:val="1711"/>
    <w:pPr>
      <w:pBdr/>
      <w:spacing w:line="240" w:lineRule="exact"/>
      <w:ind/>
    </w:pPr>
    <w:rPr>
      <w:szCs w:val="20"/>
      <w:lang w:val="en-US" w:eastAsia="en-US"/>
    </w:rPr>
  </w:style>
  <w:style w:type="character" w:styleId="1844">
    <w:name w:val="IX"/>
    <w:next w:val="1844"/>
    <w:link w:val="1711"/>
    <w:pPr>
      <w:pBdr/>
      <w:spacing/>
      <w:ind/>
    </w:pPr>
  </w:style>
  <w:style w:type="paragraph" w:styleId="1845">
    <w:name w:val="Body Text First Indent"/>
    <w:basedOn w:val="1735"/>
    <w:next w:val="1845"/>
    <w:link w:val="1855"/>
    <w:pPr>
      <w:pBdr/>
      <w:tabs>
        <w:tab w:val="clear" w:leader="none" w:pos="25"/>
        <w:tab w:val="clear" w:leader="none" w:pos="576"/>
        <w:tab w:val="clear" w:leader="none" w:pos="2160"/>
      </w:tabs>
      <w:spacing w:after="120"/>
      <w:ind w:firstLine="210"/>
      <w:jc w:val="left"/>
    </w:pPr>
    <w:rPr>
      <w:b/>
      <w:bCs/>
    </w:rPr>
  </w:style>
  <w:style w:type="paragraph" w:styleId="1846">
    <w:name w:val="List"/>
    <w:basedOn w:val="1711"/>
    <w:next w:val="1846"/>
    <w:link w:val="1711"/>
    <w:pPr>
      <w:pBdr/>
      <w:spacing/>
      <w:ind w:hanging="360" w:left="360"/>
    </w:pPr>
    <w:rPr>
      <w:lang w:val="en-US" w:eastAsia="en-US" w:bidi="he-IL"/>
    </w:rPr>
  </w:style>
  <w:style w:type="paragraph" w:styleId="1847">
    <w:name w:val="List Bullet"/>
    <w:basedOn w:val="1711"/>
    <w:next w:val="1847"/>
    <w:link w:val="1711"/>
    <w:pPr>
      <w:pBdr/>
      <w:tabs>
        <w:tab w:val="num" w:leader="none" w:pos="360"/>
      </w:tabs>
      <w:spacing/>
      <w:ind w:hanging="360" w:left="360"/>
    </w:pPr>
    <w:rPr>
      <w:lang w:val="en-US" w:eastAsia="en-US" w:bidi="he-IL"/>
    </w:rPr>
  </w:style>
  <w:style w:type="character" w:styleId="1848">
    <w:name w:val="Heading 3 Char"/>
    <w:next w:val="1848"/>
    <w:link w:val="1711"/>
    <w:pPr>
      <w:pBdr/>
      <w:spacing/>
      <w:ind/>
    </w:pPr>
    <w:rPr>
      <w:rFonts w:ascii="Arial" w:hAnsi="Arial" w:cs="Arial"/>
      <w:b/>
      <w:bCs/>
      <w:sz w:val="26"/>
      <w:szCs w:val="26"/>
      <w:lang w:val="en-US" w:eastAsia="en-US" w:bidi="he-IL"/>
    </w:rPr>
  </w:style>
  <w:style w:type="paragraph" w:styleId="1849">
    <w:name w:val="footnote"/>
    <w:basedOn w:val="1711"/>
    <w:next w:val="1849"/>
    <w:link w:val="1856"/>
    <w:qFormat/>
    <w:pPr>
      <w:pBdr/>
      <w:spacing/>
      <w:ind w:hanging="227" w:left="227"/>
    </w:pPr>
    <w:rPr>
      <w:sz w:val="20"/>
      <w:szCs w:val="20"/>
      <w:lang w:eastAsia="en-US" w:bidi="he-IL"/>
    </w:rPr>
  </w:style>
  <w:style w:type="paragraph" w:styleId="1850">
    <w:name w:val="Style Title Book + Left"/>
    <w:basedOn w:val="1809"/>
    <w:next w:val="1850"/>
    <w:link w:val="1711"/>
    <w:pPr>
      <w:pBdr/>
      <w:spacing w:before="1920" w:line="600" w:lineRule="auto"/>
      <w:ind/>
      <w:jc w:val="center"/>
    </w:pPr>
    <w:rPr>
      <w:sz w:val="44"/>
      <w:szCs w:val="44"/>
    </w:rPr>
  </w:style>
  <w:style w:type="paragraph" w:styleId="1851">
    <w:name w:val="body items"/>
    <w:basedOn w:val="1735"/>
    <w:next w:val="1851"/>
    <w:link w:val="1711"/>
    <w:pPr>
      <w:pBdr/>
      <w:spacing/>
      <w:ind/>
    </w:pPr>
    <w:rPr>
      <w:sz w:val="22"/>
      <w:szCs w:val="22"/>
    </w:rPr>
  </w:style>
  <w:style w:type="paragraph" w:styleId="1852">
    <w:name w:val="Style Body Text + First line:  0&quot;"/>
    <w:basedOn w:val="1735"/>
    <w:next w:val="1852"/>
    <w:link w:val="1711"/>
    <w:pPr>
      <w:pBdr/>
      <w:spacing/>
      <w:ind/>
    </w:pPr>
  </w:style>
  <w:style w:type="character" w:styleId="1853">
    <w:name w:val="Body Text First Indent 2 Char"/>
    <w:basedOn w:val="1814"/>
    <w:next w:val="1853"/>
    <w:link w:val="1802"/>
    <w:pPr>
      <w:pBdr/>
      <w:spacing/>
      <w:ind/>
    </w:pPr>
  </w:style>
  <w:style w:type="character" w:styleId="1854">
    <w:name w:val="Body Text Char"/>
    <w:next w:val="1854"/>
    <w:link w:val="1735"/>
    <w:pPr>
      <w:pBdr/>
      <w:spacing/>
      <w:ind/>
    </w:pPr>
    <w:rPr>
      <w:rFonts w:ascii="New Century Schoolbook" w:hAnsi="New Century Schoolbook"/>
      <w:sz w:val="24"/>
      <w:szCs w:val="24"/>
      <w:lang w:val="ro-RO" w:eastAsia="ro-RO" w:bidi="ar-SA"/>
    </w:rPr>
  </w:style>
  <w:style w:type="character" w:styleId="1855">
    <w:name w:val="Body Text First Indent Char"/>
    <w:next w:val="1855"/>
    <w:link w:val="1845"/>
    <w:pPr>
      <w:pBdr/>
      <w:spacing/>
      <w:ind/>
    </w:pPr>
    <w:rPr>
      <w:rFonts w:ascii="New Century Schoolbook" w:hAnsi="New Century Schoolbook"/>
      <w:b/>
      <w:bCs/>
      <w:sz w:val="24"/>
      <w:szCs w:val="24"/>
      <w:lang w:val="ro-RO" w:eastAsia="ro-RO" w:bidi="ar-SA"/>
    </w:rPr>
  </w:style>
  <w:style w:type="character" w:styleId="1856">
    <w:name w:val="footnote Char"/>
    <w:next w:val="1856"/>
    <w:link w:val="1849"/>
    <w:pPr>
      <w:pBdr/>
      <w:spacing/>
      <w:ind/>
    </w:pPr>
    <w:rPr>
      <w:rFonts w:ascii="New Century Schoolbook" w:hAnsi="New Century Schoolbook"/>
      <w:lang w:val="ro-RO" w:eastAsia="en-US"/>
    </w:rPr>
  </w:style>
  <w:style w:type="paragraph" w:styleId="1857">
    <w:name w:val="Normal (Web)"/>
    <w:basedOn w:val="1711"/>
    <w:next w:val="1857"/>
    <w:link w:val="1711"/>
    <w:pPr>
      <w:pBdr/>
      <w:spacing w:after="100" w:afterAutospacing="1" w:before="100" w:beforeAutospacing="1"/>
      <w:ind/>
    </w:pPr>
    <w:rPr>
      <w:lang w:val="en-US" w:eastAsia="en-US" w:bidi="he-IL"/>
    </w:rPr>
  </w:style>
  <w:style w:type="character" w:styleId="1858">
    <w:name w:val="Book Title"/>
    <w:basedOn w:val="1719"/>
    <w:next w:val="1858"/>
    <w:link w:val="1711"/>
    <w:pPr>
      <w:pBdr/>
      <w:spacing/>
      <w:ind/>
    </w:pPr>
  </w:style>
  <w:style w:type="character" w:styleId="1859">
    <w:name w:val="Emphasis"/>
    <w:next w:val="1859"/>
    <w:link w:val="1711"/>
    <w:qFormat/>
    <w:pPr>
      <w:pBdr/>
      <w:spacing/>
      <w:ind/>
    </w:pPr>
    <w:rPr>
      <w:i/>
      <w:iCs/>
    </w:rPr>
  </w:style>
  <w:style w:type="table" w:styleId="1860">
    <w:name w:val="Table Grid"/>
    <w:basedOn w:val="1720"/>
    <w:next w:val="1860"/>
    <w:link w:val="1711"/>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61">
    <w:name w:val="List Paragraph"/>
    <w:basedOn w:val="1711"/>
    <w:next w:val="1861"/>
    <w:link w:val="1711"/>
    <w:uiPriority w:val="34"/>
    <w:qFormat/>
    <w:pPr>
      <w:pBdr/>
      <w:spacing/>
      <w:ind w:left="720"/>
    </w:pPr>
  </w:style>
  <w:style w:type="paragraph" w:styleId="1862">
    <w:name w:val="Subtitle"/>
    <w:basedOn w:val="1711"/>
    <w:next w:val="1711"/>
    <w:link w:val="1863"/>
    <w:qFormat/>
    <w:pPr>
      <w:pBdr/>
      <w:spacing w:after="60"/>
      <w:ind/>
      <w:jc w:val="center"/>
      <w:outlineLvl w:val="1"/>
    </w:pPr>
    <w:rPr>
      <w:rFonts w:ascii="Cambria" w:hAnsi="Cambria" w:eastAsia="Times New Roman" w:cs="Times New Roman"/>
    </w:rPr>
  </w:style>
  <w:style w:type="character" w:styleId="1863">
    <w:name w:val="Subtitle Char"/>
    <w:next w:val="1863"/>
    <w:link w:val="1862"/>
    <w:pPr>
      <w:pBdr/>
      <w:spacing/>
      <w:ind/>
    </w:pPr>
    <w:rPr>
      <w:rFonts w:ascii="Cambria" w:hAnsi="Cambria" w:eastAsia="Times New Roman" w:cs="Times New Roman"/>
      <w:sz w:val="24"/>
      <w:szCs w:val="24"/>
      <w:lang w:val="ro-RO" w:eastAsia="ro-RO"/>
    </w:rPr>
  </w:style>
  <w:style w:type="paragraph" w:styleId="1864">
    <w:name w:val="TOC Heading"/>
    <w:basedOn w:val="1712"/>
    <w:next w:val="1711"/>
    <w:link w:val="1711"/>
    <w:uiPriority w:val="39"/>
    <w:qFormat/>
    <w:pPr>
      <w:keepLines w:val="true"/>
      <w:pBdr/>
      <w:spacing w:after="0" w:before="480" w:line="276" w:lineRule="auto"/>
      <w:ind w:firstLine="0"/>
      <w:jc w:val="left"/>
      <w:outlineLvl w:val="9"/>
    </w:pPr>
    <w:rPr>
      <w:rFonts w:ascii="Cambria" w:hAnsi="Cambria" w:eastAsia="Times New Roman" w:cs="Times New Roman"/>
      <w:color w:val="365f91"/>
      <w:sz w:val="28"/>
      <w:szCs w:val="28"/>
      <w:lang w:eastAsia="en-US"/>
    </w:rPr>
  </w:style>
  <w:style w:type="character" w:styleId="1865">
    <w:name w:val="FollowedHyperlink"/>
    <w:next w:val="1865"/>
    <w:link w:val="1711"/>
    <w:pPr>
      <w:pBdr/>
      <w:spacing/>
      <w:ind/>
    </w:pPr>
    <w:rPr>
      <w:color w:val="800080"/>
      <w:u w:val="single"/>
    </w:rPr>
  </w:style>
  <w:style w:type="character" w:styleId="1866">
    <w:name w:val="addmd1"/>
    <w:next w:val="1866"/>
    <w:link w:val="1711"/>
    <w:pPr>
      <w:pBdr/>
      <w:spacing/>
      <w:ind/>
    </w:pPr>
    <w:rPr>
      <w:rFonts w:ascii="Arial" w:hAnsi="Arial" w:cs="Arial"/>
      <w:color w:val="777777"/>
      <w:sz w:val="20"/>
      <w:szCs w:val="20"/>
    </w:rPr>
  </w:style>
  <w:style w:type="paragraph" w:styleId="1867">
    <w:name w:val="footnote texts"/>
    <w:basedOn w:val="1857"/>
    <w:next w:val="1867"/>
    <w:link w:val="1711"/>
    <w:pPr>
      <w:pBdr/>
      <w:spacing w:after="0" w:afterAutospacing="0" w:before="0" w:beforeAutospacing="0" w:line="240" w:lineRule="auto"/>
      <w:ind w:firstLine="0"/>
    </w:pPr>
    <w:rPr>
      <w:rFonts w:ascii="Times New Roman" w:hAnsi="Times New Roman"/>
      <w:sz w:val="18"/>
      <w:szCs w:val="18"/>
      <w:lang w:bidi="ar-SA"/>
    </w:rPr>
  </w:style>
  <w:style w:type="character" w:styleId="1868">
    <w:name w:val="artauthor"/>
    <w:basedOn w:val="1719"/>
    <w:next w:val="1868"/>
    <w:link w:val="1711"/>
    <w:pPr>
      <w:pBdr/>
      <w:spacing/>
      <w:ind/>
    </w:pPr>
  </w:style>
  <w:style w:type="paragraph" w:styleId="1869">
    <w:name w:val="endnote text"/>
    <w:basedOn w:val="1711"/>
    <w:next w:val="1869"/>
    <w:link w:val="1870"/>
    <w:uiPriority w:val="99"/>
    <w:unhideWhenUsed/>
    <w:pPr>
      <w:pBdr/>
      <w:spacing w:line="240" w:lineRule="auto"/>
      <w:ind w:firstLine="0"/>
      <w:jc w:val="left"/>
    </w:pPr>
    <w:rPr>
      <w:rFonts w:ascii="Times New Roman" w:hAnsi="Times New Roman"/>
      <w:sz w:val="20"/>
      <w:szCs w:val="20"/>
    </w:rPr>
  </w:style>
  <w:style w:type="character" w:styleId="1870">
    <w:name w:val="Endnote Text Char"/>
    <w:next w:val="1870"/>
    <w:link w:val="1869"/>
    <w:uiPriority w:val="99"/>
    <w:pPr>
      <w:pBdr/>
      <w:spacing/>
      <w:ind/>
    </w:pPr>
    <w:rPr>
      <w:lang w:val="ro-RO" w:eastAsia="ro-RO" w:bidi="ar-SA"/>
    </w:rPr>
  </w:style>
  <w:style w:type="character" w:styleId="1871">
    <w:name w:val="endnote reference"/>
    <w:next w:val="1871"/>
    <w:link w:val="1711"/>
    <w:uiPriority w:val="99"/>
    <w:unhideWhenUsed/>
    <w:pPr>
      <w:pBdr/>
      <w:spacing/>
      <w:ind/>
    </w:pPr>
    <w:rPr>
      <w:vertAlign w:val="superscript"/>
    </w:rPr>
  </w:style>
  <w:style w:type="character" w:styleId="1872">
    <w:name w:val="apple-converted-space"/>
    <w:next w:val="1872"/>
    <w:link w:val="1711"/>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TEOLOGIA BIBLICĂ A NOULUI TESTAMENT</dc:title>
  <cp:revision>4</cp:revision>
  <dcterms:created xsi:type="dcterms:W3CDTF">2013-11-13T15:07:00Z</dcterms:created>
  <dcterms:modified xsi:type="dcterms:W3CDTF">2026-04-30T15:03:32Z</dcterms:modified>
  <cp:version>917504</cp:version>
</cp:coreProperties>
</file>