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1713"/>
        <w:pBdr/>
        <w:spacing/>
        <w:ind w:right="0" w:firstLine="0" w:left="0"/>
        <w:rPr>
          <w:rFonts w:ascii="Gentium" w:hAnsi="Gentium" w:cs="Gentium"/>
          <w:sz w:val="24"/>
          <w:szCs w:val="24"/>
        </w:rPr>
      </w:pPr>
      <w:r/>
      <w:bookmarkStart w:id="45" w:name="_Toc252991849"/>
      <w:r>
        <w:rPr>
          <w:rFonts w:ascii="Gentium" w:hAnsi="Gentium" w:eastAsia="Gentium" w:cs="Gentium"/>
          <w:sz w:val="24"/>
          <w:szCs w:val="24"/>
        </w:rPr>
        <w:t xml:space="preserve">C</w:t>
      </w:r>
      <w:r>
        <w:rPr>
          <w:rFonts w:ascii="Gentium" w:hAnsi="Gentium" w:eastAsia="Gentium" w:cs="Gentium"/>
          <w:sz w:val="24"/>
          <w:szCs w:val="24"/>
        </w:rPr>
        <w:t xml:space="preserve">urs 6</w:t>
      </w:r>
      <w:r>
        <w:rPr>
          <w:rFonts w:ascii="Gentium" w:hAnsi="Gentium" w:eastAsia="Gentium" w:cs="Gentium"/>
          <w:sz w:val="24"/>
          <w:szCs w:val="24"/>
        </w:rPr>
        <w:t xml:space="preserve">. Te</w:t>
      </w:r>
      <w:r>
        <w:rPr>
          <w:rFonts w:ascii="Gentium" w:hAnsi="Gentium" w:eastAsia="Gentium" w:cs="Gentium"/>
          <w:sz w:val="24"/>
          <w:szCs w:val="24"/>
        </w:rPr>
        <w:t xml:space="preserve">ologia NT şi politicile s</w:t>
      </w:r>
      <w:r>
        <w:rPr>
          <w:rFonts w:ascii="Gentium" w:hAnsi="Gentium" w:eastAsia="Gentium" w:cs="Gentium"/>
          <w:sz w:val="24"/>
          <w:szCs w:val="24"/>
        </w:rPr>
        <w:t xml:space="preserve">ociale</w:t>
      </w:r>
      <w:bookmarkEnd w:id="45"/>
      <w:r>
        <w:rPr>
          <w:rFonts w:ascii="Gentium" w:hAnsi="Gentium" w:eastAsia="Gentium" w:cs="Gentium"/>
          <w:sz w:val="24"/>
          <w:szCs w:val="24"/>
        </w:rPr>
        <w:t xml:space="preserve"> 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4078B27A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  <w:highlight w:val="none"/>
        </w:rPr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 w:firstLine="0"/>
        <w:rPr>
          <w:rFonts w:ascii="Gentium" w:hAnsi="Gentium" w:eastAsia="Gentium" w:cs="Gentium"/>
          <w:sz w:val="24"/>
          <w:szCs w:val="24"/>
          <w:lang w:val="en-US"/>
        </w:rPr>
      </w:pPr>
      <w:r>
        <w:rPr>
          <w:rFonts w:ascii="Gentium" w:hAnsi="Gentium" w:eastAsia="Gentium" w:cs="Gentium"/>
          <w:sz w:val="24"/>
          <w:szCs w:val="24"/>
          <w:lang w:val="en-US"/>
        </w:rPr>
        <w:t xml:space="preserve">Opozi</w:t>
      </w:r>
      <w:r>
        <w:rPr>
          <w:rFonts w:ascii="Gentium" w:hAnsi="Gentium" w:eastAsia="Gentium" w:cs="Gentium"/>
          <w:sz w:val="24"/>
          <w:szCs w:val="24"/>
          <w:lang w:val="ro-RO"/>
        </w:rPr>
        <w:t xml:space="preserve">ț</w:t>
      </w:r>
      <w:r>
        <w:rPr>
          <w:rFonts w:ascii="Gentium" w:hAnsi="Gentium" w:eastAsia="Gentium" w:cs="Gentium"/>
          <w:sz w:val="24"/>
          <w:szCs w:val="24"/>
          <w:highlight w:val="none"/>
        </w:rPr>
      </w:r>
      <w:r>
        <w:rPr>
          <w:rFonts w:ascii="Gentium" w:hAnsi="Gentium" w:eastAsia="Gentium" w:cs="Gentium"/>
          <w:sz w:val="24"/>
          <w:szCs w:val="24"/>
          <w:lang w:val="en-US"/>
        </w:rPr>
        <w:t xml:space="preserve">ia </w:t>
      </w:r>
      <w:r>
        <w:rPr>
          <w:rFonts w:ascii="Gentium" w:hAnsi="Gentium" w:eastAsia="Gentium" w:cs="Gentium"/>
          <w:sz w:val="24"/>
          <w:szCs w:val="24"/>
        </w:rPr>
        <w:t xml:space="preserve">săraci-bogaţi; patroni-sclavi; coduri de onoare – promovare ierarhică; problematica relaţie</w:t>
      </w:r>
      <w:r>
        <w:rPr>
          <w:rFonts w:ascii="Gentium" w:hAnsi="Gentium" w:eastAsia="Gentium" w:cs="Gentium"/>
          <w:sz w:val="24"/>
          <w:szCs w:val="24"/>
        </w:rPr>
        <w:t xml:space="preserve">i</w:t>
      </w:r>
      <w:r>
        <w:rPr>
          <w:rFonts w:ascii="Gentium" w:hAnsi="Gentium" w:eastAsia="Gentium" w:cs="Gentium"/>
          <w:sz w:val="24"/>
          <w:szCs w:val="24"/>
        </w:rPr>
        <w:t xml:space="preserve"> cetăţean – stat.</w:t>
      </w:r>
      <w:r>
        <w:rPr>
          <w:rFonts w:ascii="Gentium" w:hAnsi="Gentium" w:eastAsia="Gentium" w:cs="Gentium"/>
          <w:sz w:val="24"/>
          <w:szCs w:val="24"/>
          <w:highlight w:val="none"/>
        </w:rPr>
      </w:r>
      <w:r/>
      <w:r>
        <w:rPr>
          <w:rFonts w:ascii="Gentium" w:hAnsi="Gentium" w:eastAsia="Gentium" w:cs="Gentium"/>
          <w:sz w:val="24"/>
          <w:szCs w:val="24"/>
          <w:lang w:val="en-US"/>
        </w:rPr>
      </w:r>
    </w:p>
    <w:p>
      <w:pPr>
        <w:pStyle w:val="173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Divizări sociale şi ocupaţii în lumea NT; politica de promovări; sfinţi şi păcătoşi, patrioţi şi trădători; liberţi, diaspora şi naţionalismul; conceptul de casă şi autoritate familială.</w:t>
      </w:r>
      <w:r>
        <w:rPr>
          <w:rFonts w:ascii="Gentium" w:hAnsi="Gentium" w:eastAsia="Gentium" w:cs="Gentium"/>
          <w:sz w:val="24"/>
          <w:szCs w:val="24"/>
        </w:rPr>
        <w:t xml:space="preserve"> Problema relaţiilor cetăţean-stat.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3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4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  <w:lang w:val="ro-RO"/>
        </w:rPr>
        <w:t xml:space="preserve">6</w:t>
      </w:r>
      <w:bookmarkStart w:id="46" w:name="_Toc252991850"/>
      <w:r>
        <w:rPr>
          <w:rFonts w:ascii="Gentium" w:hAnsi="Gentium" w:eastAsia="Gentium" w:cs="Gentium"/>
          <w:sz w:val="24"/>
          <w:szCs w:val="24"/>
          <w:lang w:val="ro-RO"/>
        </w:rPr>
        <w:t xml:space="preserve">.1 Problematica socială</w:t>
      </w:r>
      <w:r>
        <w:rPr>
          <w:rFonts w:ascii="Gentium" w:hAnsi="Gentium" w:eastAsia="Gentium" w:cs="Gentium"/>
          <w:sz w:val="24"/>
          <w:szCs w:val="24"/>
          <w:lang w:val="ro-RO"/>
        </w:rPr>
        <w:t xml:space="preserve">: familia, educaţia, relaţiile bărbaţi-femei, sclavia, conducerea societăţii</w:t>
      </w:r>
      <w:bookmarkEnd w:id="46"/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Aşa cum unii autori observă, c</w:t>
      </w:r>
      <w:r>
        <w:rPr>
          <w:rFonts w:ascii="Gentium" w:hAnsi="Gentium" w:eastAsia="Gentium" w:cs="Gentium"/>
          <w:sz w:val="24"/>
          <w:szCs w:val="24"/>
        </w:rPr>
        <w:t xml:space="preserve">onducerea polisului grecesc era o problemă eminamente masculină.</w:t>
      </w:r>
      <w:r>
        <w:rPr>
          <w:rStyle w:val="1732"/>
          <w:rFonts w:ascii="Gentium" w:hAnsi="Gentium" w:eastAsia="Gentium" w:cs="Gentium"/>
          <w:sz w:val="24"/>
          <w:szCs w:val="24"/>
        </w:rPr>
        <w:footnoteReference w:id="2"/>
      </w:r>
      <w:r>
        <w:rPr>
          <w:rFonts w:ascii="Gentium" w:hAnsi="Gentium" w:eastAsia="Gentium" w:cs="Gentium"/>
          <w:sz w:val="24"/>
          <w:szCs w:val="24"/>
        </w:rPr>
        <w:t xml:space="preserve"> Bărbaţii luau hotărâri pentru comunitate.</w:t>
      </w:r>
      <w:r>
        <w:rPr>
          <w:rFonts w:ascii="Gentium" w:hAnsi="Gentium" w:eastAsia="Gentium" w:cs="Gentium"/>
          <w:sz w:val="24"/>
          <w:szCs w:val="24"/>
        </w:rPr>
        <w:t xml:space="preserve"> În Atena şi Sparta </w:t>
      </w:r>
      <w:r>
        <w:rPr>
          <w:rFonts w:ascii="Gentium" w:hAnsi="Gentium" w:eastAsia="Gentium" w:cs="Gentium"/>
          <w:sz w:val="24"/>
          <w:szCs w:val="24"/>
        </w:rPr>
        <w:t xml:space="preserve">regula aceasta funcţiona asigurând un acces egal la putere, </w:t>
      </w:r>
      <w:r>
        <w:rPr>
          <w:rFonts w:ascii="Gentium" w:hAnsi="Gentium" w:eastAsia="Gentium" w:cs="Gentium"/>
          <w:sz w:val="24"/>
          <w:szCs w:val="24"/>
        </w:rPr>
        <w:t xml:space="preserve">în timp ce</w:t>
      </w:r>
      <w:r>
        <w:rPr>
          <w:rFonts w:ascii="Gentium" w:hAnsi="Gentium" w:eastAsia="Gentium" w:cs="Gentium"/>
          <w:sz w:val="24"/>
          <w:szCs w:val="24"/>
        </w:rPr>
        <w:t xml:space="preserve"> în alte oraşe-stat apăreau diverse grupuri conducătoare,</w:t>
      </w:r>
      <w:r>
        <w:rPr>
          <w:rFonts w:ascii="Gentium" w:hAnsi="Gentium" w:eastAsia="Gentium" w:cs="Gentium"/>
          <w:sz w:val="24"/>
          <w:szCs w:val="24"/>
        </w:rPr>
        <w:t xml:space="preserve"> </w:t>
      </w:r>
      <w:r>
        <w:rPr>
          <w:rFonts w:ascii="Gentium" w:hAnsi="Gentium" w:eastAsia="Gentium" w:cs="Gentium"/>
          <w:sz w:val="24"/>
          <w:szCs w:val="24"/>
        </w:rPr>
        <w:t xml:space="preserve">elite</w:t>
      </w:r>
      <w:r>
        <w:rPr>
          <w:rFonts w:ascii="Gentium" w:hAnsi="Gentium" w:eastAsia="Gentium" w:cs="Gentium"/>
          <w:sz w:val="24"/>
          <w:szCs w:val="24"/>
        </w:rPr>
        <w:t xml:space="preserve">, grupuri de familii („fraternităţi”)</w:t>
      </w:r>
      <w:r>
        <w:rPr>
          <w:rFonts w:ascii="Gentium" w:hAnsi="Gentium" w:eastAsia="Gentium" w:cs="Gentium"/>
          <w:sz w:val="24"/>
          <w:szCs w:val="24"/>
        </w:rPr>
        <w:t xml:space="preserve">.</w:t>
      </w:r>
      <w:r>
        <w:rPr>
          <w:rFonts w:ascii="Gentium" w:hAnsi="Gentium" w:eastAsia="Gentium" w:cs="Gentium"/>
          <w:sz w:val="24"/>
          <w:szCs w:val="24"/>
        </w:rPr>
        <w:t xml:space="preserve"> Dominaţia politică a bărbaţilor are, în afară de aceste politici de grup – sau de corp, şi reguli exclusiviste: străinii şi femeile sunt excluşi de </w:t>
      </w:r>
      <w:r>
        <w:rPr>
          <w:rFonts w:ascii="Gentium" w:hAnsi="Gentium" w:eastAsia="Gentium" w:cs="Gentium"/>
          <w:sz w:val="24"/>
          <w:szCs w:val="24"/>
        </w:rPr>
        <w:t xml:space="preserve">la jocul politic</w:t>
      </w:r>
      <w:r>
        <w:rPr>
          <w:rFonts w:ascii="Gentium" w:hAnsi="Gentium" w:eastAsia="Gentium" w:cs="Gentium"/>
          <w:sz w:val="24"/>
          <w:szCs w:val="24"/>
        </w:rPr>
        <w:t xml:space="preserve"> şi</w:t>
      </w:r>
      <w:r>
        <w:rPr>
          <w:rFonts w:ascii="Gentium" w:hAnsi="Gentium" w:eastAsia="Gentium" w:cs="Gentium"/>
          <w:sz w:val="24"/>
          <w:szCs w:val="24"/>
        </w:rPr>
        <w:t xml:space="preserve">,</w:t>
      </w:r>
      <w:r>
        <w:rPr>
          <w:rFonts w:ascii="Gentium" w:hAnsi="Gentium" w:eastAsia="Gentium" w:cs="Gentium"/>
          <w:sz w:val="24"/>
          <w:szCs w:val="24"/>
        </w:rPr>
        <w:t xml:space="preserve"> bineînţeles, şi sclavii.</w:t>
      </w:r>
      <w:r>
        <w:rPr>
          <w:rFonts w:ascii="Gentium" w:hAnsi="Gentium" w:eastAsia="Gentium" w:cs="Gentium"/>
          <w:sz w:val="24"/>
          <w:szCs w:val="24"/>
        </w:rPr>
        <w:t xml:space="preserve"> Dominaţia masculină era mult mai accentuată în Atena decât la Roma.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C</w:t>
      </w:r>
      <w:r>
        <w:rPr>
          <w:rFonts w:ascii="Gentium" w:hAnsi="Gentium" w:eastAsia="Gentium" w:cs="Gentium"/>
          <w:sz w:val="24"/>
          <w:szCs w:val="24"/>
        </w:rPr>
        <w:t xml:space="preserve">ăsătoria reprezenta</w:t>
      </w:r>
      <w:r>
        <w:rPr>
          <w:rFonts w:ascii="Gentium" w:hAnsi="Gentium" w:eastAsia="Gentium" w:cs="Gentium"/>
          <w:sz w:val="24"/>
          <w:szCs w:val="24"/>
        </w:rPr>
        <w:t xml:space="preserve"> norma acceptată pentru viaţa socială</w:t>
      </w:r>
      <w:r>
        <w:rPr>
          <w:rFonts w:ascii="Gentium" w:hAnsi="Gentium" w:eastAsia="Gentium" w:cs="Gentium"/>
          <w:sz w:val="24"/>
          <w:szCs w:val="24"/>
        </w:rPr>
        <w:t xml:space="preserve"> în societatea greco-romană</w:t>
      </w:r>
      <w:r>
        <w:rPr>
          <w:rFonts w:ascii="Gentium" w:hAnsi="Gentium" w:eastAsia="Gentium" w:cs="Gentium"/>
          <w:sz w:val="24"/>
          <w:szCs w:val="24"/>
        </w:rPr>
        <w:t xml:space="preserve">, </w:t>
      </w:r>
      <w:r>
        <w:rPr>
          <w:rFonts w:ascii="Gentium" w:hAnsi="Gentium" w:eastAsia="Gentium" w:cs="Gentium"/>
          <w:sz w:val="24"/>
          <w:szCs w:val="24"/>
        </w:rPr>
        <w:t xml:space="preserve">dar existau </w:t>
      </w:r>
      <w:r>
        <w:rPr>
          <w:rFonts w:ascii="Gentium" w:hAnsi="Gentium" w:eastAsia="Gentium" w:cs="Gentium"/>
          <w:sz w:val="24"/>
          <w:szCs w:val="24"/>
        </w:rPr>
        <w:t xml:space="preserve">şi </w:t>
      </w:r>
      <w:r>
        <w:rPr>
          <w:rFonts w:ascii="Gentium" w:hAnsi="Gentium" w:eastAsia="Gentium" w:cs="Gentium"/>
          <w:sz w:val="24"/>
          <w:szCs w:val="24"/>
        </w:rPr>
        <w:t xml:space="preserve">anumite rezerve faţă de ea</w:t>
      </w:r>
      <w:r>
        <w:rPr>
          <w:rFonts w:ascii="Gentium" w:hAnsi="Gentium" w:eastAsia="Gentium" w:cs="Gentium"/>
          <w:sz w:val="24"/>
          <w:szCs w:val="24"/>
        </w:rPr>
        <w:t xml:space="preserve"> – mai ales în cercurile greceşti</w:t>
      </w:r>
      <w:r>
        <w:rPr>
          <w:rFonts w:ascii="Gentium" w:hAnsi="Gentium" w:eastAsia="Gentium" w:cs="Gentium"/>
          <w:sz w:val="24"/>
          <w:szCs w:val="24"/>
        </w:rPr>
        <w:t xml:space="preserve"> (</w:t>
      </w:r>
      <w:r>
        <w:rPr>
          <w:rFonts w:ascii="Gentium" w:hAnsi="Gentium" w:eastAsia="Gentium" w:cs="Gentium"/>
          <w:sz w:val="24"/>
          <w:szCs w:val="24"/>
        </w:rPr>
        <w:t xml:space="preserve">Diogenes Laertius</w:t>
      </w:r>
      <w:r>
        <w:rPr>
          <w:rFonts w:ascii="Gentium" w:hAnsi="Gentium" w:eastAsia="Gentium" w:cs="Gentium"/>
          <w:sz w:val="24"/>
          <w:szCs w:val="24"/>
        </w:rPr>
        <w:t xml:space="preserve">,</w:t>
      </w:r>
      <w:r>
        <w:rPr>
          <w:rFonts w:ascii="Gentium" w:hAnsi="Gentium" w:eastAsia="Gentium" w:cs="Gentium"/>
          <w:sz w:val="24"/>
          <w:szCs w:val="24"/>
        </w:rPr>
        <w:t xml:space="preserve"> </w:t>
      </w:r>
      <w:r>
        <w:rPr>
          <w:rFonts w:ascii="Gentium" w:hAnsi="Gentium" w:eastAsia="Gentium" w:cs="Gentium"/>
          <w:i/>
          <w:sz w:val="24"/>
          <w:szCs w:val="24"/>
        </w:rPr>
        <w:t xml:space="preserve">Vita</w:t>
      </w:r>
      <w:r>
        <w:rPr>
          <w:rFonts w:ascii="Gentium" w:hAnsi="Gentium" w:eastAsia="Gentium" w:cs="Gentium"/>
          <w:sz w:val="24"/>
          <w:szCs w:val="24"/>
        </w:rPr>
        <w:t xml:space="preserve"> </w:t>
      </w:r>
      <w:r>
        <w:rPr>
          <w:rFonts w:ascii="Gentium" w:hAnsi="Gentium" w:eastAsia="Gentium" w:cs="Gentium"/>
          <w:sz w:val="24"/>
          <w:szCs w:val="24"/>
        </w:rPr>
        <w:t xml:space="preserve">4.48; 6.1.3; 10.119; Aulus Gellius </w:t>
      </w:r>
      <w:r>
        <w:rPr>
          <w:rFonts w:ascii="Gentium" w:hAnsi="Gentium" w:eastAsia="Gentium" w:cs="Gentium"/>
          <w:i/>
          <w:iCs/>
          <w:sz w:val="24"/>
          <w:szCs w:val="24"/>
        </w:rPr>
        <w:t xml:space="preserve">Noc. Att.</w:t>
      </w:r>
      <w:r>
        <w:rPr>
          <w:rFonts w:ascii="Gentium" w:hAnsi="Gentium" w:eastAsia="Gentium" w:cs="Gentium"/>
          <w:sz w:val="24"/>
          <w:szCs w:val="24"/>
        </w:rPr>
        <w:t xml:space="preserve"> 5.11.2)</w:t>
      </w:r>
      <w:r>
        <w:rPr>
          <w:rFonts w:ascii="Gentium" w:hAnsi="Gentium" w:eastAsia="Gentium" w:cs="Gentium"/>
          <w:sz w:val="24"/>
          <w:szCs w:val="24"/>
        </w:rPr>
        <w:t xml:space="preserve">. Cinicii considerau că </w:t>
      </w:r>
      <w:r>
        <w:rPr>
          <w:rFonts w:ascii="Gentium" w:hAnsi="Gentium" w:eastAsia="Gentium" w:cs="Gentium"/>
          <w:sz w:val="24"/>
          <w:szCs w:val="24"/>
        </w:rPr>
        <w:t xml:space="preserve">ea </w:t>
      </w:r>
      <w:r>
        <w:rPr>
          <w:rFonts w:ascii="Gentium" w:hAnsi="Gentium" w:eastAsia="Gentium" w:cs="Gentium"/>
          <w:sz w:val="24"/>
          <w:szCs w:val="24"/>
        </w:rPr>
        <w:t xml:space="preserve">îi distrăgea pe bărbaţi de </w:t>
      </w:r>
      <w:r>
        <w:rPr>
          <w:rFonts w:ascii="Gentium" w:hAnsi="Gentium" w:eastAsia="Gentium" w:cs="Gentium"/>
          <w:sz w:val="24"/>
          <w:szCs w:val="24"/>
        </w:rPr>
        <w:t xml:space="preserve">la </w:t>
      </w:r>
      <w:r>
        <w:rPr>
          <w:rFonts w:ascii="Gentium" w:hAnsi="Gentium" w:eastAsia="Gentium" w:cs="Gentium"/>
          <w:sz w:val="24"/>
          <w:szCs w:val="24"/>
        </w:rPr>
        <w:t xml:space="preserve">treburile serioase ale vieţii</w:t>
      </w:r>
      <w:r>
        <w:rPr>
          <w:rFonts w:ascii="Gentium" w:hAnsi="Gentium" w:eastAsia="Gentium" w:cs="Gentium"/>
          <w:sz w:val="24"/>
          <w:szCs w:val="24"/>
        </w:rPr>
        <w:t xml:space="preserve"> (Diogenes Laertius </w:t>
      </w:r>
      <w:r>
        <w:rPr>
          <w:rFonts w:ascii="Gentium" w:hAnsi="Gentium" w:eastAsia="Gentium" w:cs="Gentium"/>
          <w:i/>
          <w:iCs/>
          <w:sz w:val="24"/>
          <w:szCs w:val="24"/>
        </w:rPr>
        <w:t xml:space="preserve">Vit.</w:t>
      </w:r>
      <w:r>
        <w:rPr>
          <w:rFonts w:ascii="Gentium" w:hAnsi="Gentium" w:eastAsia="Gentium" w:cs="Gentium"/>
          <w:sz w:val="24"/>
          <w:szCs w:val="24"/>
        </w:rPr>
        <w:t xml:space="preserve"> 6.2.54; Epictetus </w:t>
      </w:r>
      <w:r>
        <w:rPr>
          <w:rFonts w:ascii="Gentium" w:hAnsi="Gentium" w:eastAsia="Gentium" w:cs="Gentium"/>
          <w:i/>
          <w:iCs/>
          <w:sz w:val="24"/>
          <w:szCs w:val="24"/>
        </w:rPr>
        <w:t xml:space="preserve">Disc.</w:t>
      </w:r>
      <w:r>
        <w:rPr>
          <w:rFonts w:ascii="Gentium" w:hAnsi="Gentium" w:eastAsia="Gentium" w:cs="Gentium"/>
          <w:sz w:val="24"/>
          <w:szCs w:val="24"/>
        </w:rPr>
        <w:t xml:space="preserve"> 3.22.69–76; Diogenes </w:t>
      </w:r>
      <w:r>
        <w:rPr>
          <w:rFonts w:ascii="Gentium" w:hAnsi="Gentium" w:eastAsia="Gentium" w:cs="Gentium"/>
          <w:i/>
          <w:sz w:val="24"/>
          <w:szCs w:val="24"/>
        </w:rPr>
        <w:t xml:space="preserve">Epistulae</w:t>
      </w:r>
      <w:r>
        <w:rPr>
          <w:rFonts w:ascii="Gentium" w:hAnsi="Gentium" w:eastAsia="Gentium" w:cs="Gentium"/>
          <w:sz w:val="24"/>
          <w:szCs w:val="24"/>
        </w:rPr>
        <w:t xml:space="preserve"> </w:t>
      </w:r>
      <w:r>
        <w:rPr>
          <w:rFonts w:ascii="Gentium" w:hAnsi="Gentium" w:eastAsia="Gentium" w:cs="Gentium"/>
          <w:sz w:val="24"/>
          <w:szCs w:val="24"/>
        </w:rPr>
        <w:t xml:space="preserve">47</w:t>
      </w:r>
      <w:r>
        <w:rPr>
          <w:rFonts w:ascii="Gentium" w:hAnsi="Gentium" w:eastAsia="Gentium" w:cs="Gentium"/>
          <w:sz w:val="24"/>
          <w:szCs w:val="24"/>
        </w:rPr>
        <w:t xml:space="preserve">; cf. </w:t>
      </w:r>
      <w:r>
        <w:rPr>
          <w:rFonts w:ascii="Gentium" w:hAnsi="Gentium" w:eastAsia="Gentium" w:cs="Gentium"/>
          <w:sz w:val="24"/>
          <w:szCs w:val="24"/>
        </w:rPr>
        <w:t xml:space="preserve">C. S. Keener</w:t>
      </w:r>
      <w:r>
        <w:rPr>
          <w:rFonts w:ascii="Gentium" w:hAnsi="Gentium" w:eastAsia="Gentium" w:cs="Gentium"/>
          <w:sz w:val="24"/>
          <w:szCs w:val="24"/>
          <w:vertAlign w:val="superscript"/>
        </w:rPr>
        <w:footnoteReference w:id="3"/>
      </w:r>
      <w:r>
        <w:rPr>
          <w:rFonts w:ascii="Gentium" w:hAnsi="Gentium" w:eastAsia="Gentium" w:cs="Gentium"/>
          <w:sz w:val="24"/>
          <w:szCs w:val="24"/>
        </w:rPr>
        <w:t xml:space="preserve">), iar alţii </w:t>
      </w:r>
      <w:r>
        <w:rPr>
          <w:rFonts w:ascii="Gentium" w:hAnsi="Gentium" w:eastAsia="Gentium" w:cs="Gentium"/>
          <w:sz w:val="24"/>
          <w:szCs w:val="24"/>
        </w:rPr>
        <w:t xml:space="preserve">se temeau de </w:t>
      </w:r>
      <w:r>
        <w:rPr>
          <w:rFonts w:ascii="Gentium" w:hAnsi="Gentium" w:eastAsia="Gentium" w:cs="Gentium"/>
          <w:sz w:val="24"/>
          <w:szCs w:val="24"/>
        </w:rPr>
        <w:t xml:space="preserve">dezamăgire şi eşec (Plutarch, </w:t>
      </w:r>
      <w:r>
        <w:rPr>
          <w:rFonts w:ascii="Gentium" w:hAnsi="Gentium" w:eastAsia="Gentium" w:cs="Gentium"/>
          <w:i/>
          <w:sz w:val="24"/>
          <w:szCs w:val="24"/>
        </w:rPr>
        <w:t xml:space="preserve">Cina celor şapte bărbaţi înţelepţi</w:t>
      </w:r>
      <w:r>
        <w:rPr>
          <w:rFonts w:ascii="Gentium" w:hAnsi="Gentium" w:eastAsia="Gentium" w:cs="Gentium"/>
          <w:sz w:val="24"/>
          <w:szCs w:val="24"/>
        </w:rPr>
        <w:t xml:space="preserve">,</w:t>
      </w:r>
      <w:r>
        <w:rPr>
          <w:rFonts w:ascii="Gentium" w:hAnsi="Gentium" w:eastAsia="Gentium" w:cs="Gentium"/>
          <w:sz w:val="24"/>
          <w:szCs w:val="24"/>
        </w:rPr>
        <w:t xml:space="preserve"> 21,</w:t>
      </w:r>
      <w:r>
        <w:rPr>
          <w:rFonts w:ascii="Gentium" w:hAnsi="Gentium" w:eastAsia="Gentium" w:cs="Gentium"/>
          <w:sz w:val="24"/>
          <w:szCs w:val="24"/>
        </w:rPr>
        <w:t xml:space="preserve"> </w:t>
      </w:r>
      <w:r>
        <w:rPr>
          <w:rFonts w:ascii="Gentium" w:hAnsi="Gentium" w:eastAsia="Gentium" w:cs="Gentium"/>
          <w:i/>
          <w:sz w:val="24"/>
          <w:szCs w:val="24"/>
        </w:rPr>
        <w:t xml:space="preserve">Moralia</w:t>
      </w:r>
      <w:r>
        <w:rPr>
          <w:rFonts w:ascii="Gentium" w:hAnsi="Gentium" w:eastAsia="Gentium" w:cs="Gentium"/>
          <w:sz w:val="24"/>
          <w:szCs w:val="24"/>
        </w:rPr>
        <w:t xml:space="preserve"> 164B).</w:t>
      </w:r>
      <w:r>
        <w:rPr>
          <w:rFonts w:ascii="Gentium" w:hAnsi="Gentium" w:eastAsia="Gentium" w:cs="Gentium"/>
          <w:sz w:val="24"/>
          <w:szCs w:val="24"/>
        </w:rPr>
        <w:t xml:space="preserve"> </w:t>
      </w:r>
      <w:r>
        <w:rPr>
          <w:rFonts w:ascii="Gentium" w:hAnsi="Gentium" w:eastAsia="Gentium" w:cs="Gentium"/>
          <w:sz w:val="24"/>
          <w:szCs w:val="24"/>
        </w:rPr>
        <w:t xml:space="preserve">În Sparta relaţiile dintre sexe erau foarte libere, deşi se încuraja şi căsătoria, pentru procreere (bărbaţii la 30 ani, fetele la 16 ani). </w:t>
      </w:r>
      <w:r>
        <w:rPr>
          <w:rFonts w:ascii="Gentium" w:hAnsi="Gentium" w:eastAsia="Gentium" w:cs="Gentium"/>
          <w:sz w:val="24"/>
          <w:szCs w:val="24"/>
        </w:rPr>
        <w:t xml:space="preserve">Ca urmare şi c</w:t>
      </w:r>
      <w:r>
        <w:rPr>
          <w:rFonts w:ascii="Gentium" w:hAnsi="Gentium" w:eastAsia="Gentium" w:cs="Gentium"/>
          <w:sz w:val="24"/>
          <w:szCs w:val="24"/>
        </w:rPr>
        <w:t xml:space="preserve">elibatul</w:t>
      </w:r>
      <w:r>
        <w:rPr>
          <w:rFonts w:ascii="Gentium" w:hAnsi="Gentium" w:eastAsia="Gentium" w:cs="Gentium"/>
          <w:sz w:val="24"/>
          <w:szCs w:val="24"/>
        </w:rPr>
        <w:t xml:space="preserve">, îndeosebi cel</w:t>
      </w:r>
      <w:r>
        <w:rPr>
          <w:rFonts w:ascii="Gentium" w:hAnsi="Gentium" w:eastAsia="Gentium" w:cs="Gentium"/>
          <w:sz w:val="24"/>
          <w:szCs w:val="24"/>
        </w:rPr>
        <w:t xml:space="preserve"> religios</w:t>
      </w:r>
      <w:r>
        <w:rPr>
          <w:rFonts w:ascii="Gentium" w:hAnsi="Gentium" w:eastAsia="Gentium" w:cs="Gentium"/>
          <w:sz w:val="24"/>
          <w:szCs w:val="24"/>
        </w:rPr>
        <w:t xml:space="preserve">,</w:t>
      </w:r>
      <w:r>
        <w:rPr>
          <w:rFonts w:ascii="Gentium" w:hAnsi="Gentium" w:eastAsia="Gentium" w:cs="Gentium"/>
          <w:sz w:val="24"/>
          <w:szCs w:val="24"/>
        </w:rPr>
        <w:t xml:space="preserve"> era preţuit şi</w:t>
      </w:r>
      <w:r>
        <w:rPr>
          <w:rFonts w:ascii="Gentium" w:hAnsi="Gentium" w:eastAsia="Gentium" w:cs="Gentium"/>
          <w:sz w:val="24"/>
          <w:szCs w:val="24"/>
        </w:rPr>
        <w:t xml:space="preserve"> văzut ca o alternativă onorabilă faţă de căsătorie, atât pentru femei </w:t>
      </w:r>
      <w:r>
        <w:rPr>
          <w:rFonts w:ascii="Gentium" w:hAnsi="Gentium" w:eastAsia="Gentium" w:cs="Gentium"/>
          <w:sz w:val="24"/>
          <w:szCs w:val="24"/>
        </w:rPr>
        <w:t xml:space="preserve">(vestale, etc.) </w:t>
      </w:r>
      <w:r>
        <w:rPr>
          <w:rFonts w:ascii="Gentium" w:hAnsi="Gentium" w:eastAsia="Gentium" w:cs="Gentium"/>
          <w:sz w:val="24"/>
          <w:szCs w:val="24"/>
        </w:rPr>
        <w:t xml:space="preserve">cât şi pentru bărbaţi.</w:t>
      </w:r>
      <w:r>
        <w:rPr>
          <w:rFonts w:ascii="Gentium" w:hAnsi="Gentium" w:eastAsia="Gentium" w:cs="Gentium"/>
          <w:sz w:val="24"/>
          <w:szCs w:val="24"/>
        </w:rPr>
        <w:t xml:space="preserve"> Alternativele faţă de căsătorie includeau însă şi relaţiile homosexuale.</w:t>
      </w:r>
      <w:r>
        <w:rPr>
          <w:rFonts w:ascii="Gentium" w:hAnsi="Gentium" w:eastAsia="Gentium" w:cs="Gentium"/>
          <w:sz w:val="24"/>
          <w:szCs w:val="24"/>
        </w:rPr>
        <w:t xml:space="preserve"> Prin comparaţie, Roma era mai conservatoare iar femeile se puteau distinge mai bine ca persoane cu influenţă în societate.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La nivelul funcţion</w:t>
      </w:r>
      <w:r>
        <w:rPr>
          <w:rFonts w:ascii="Gentium" w:hAnsi="Gentium" w:eastAsia="Gentium" w:cs="Gentium"/>
          <w:sz w:val="24"/>
          <w:szCs w:val="24"/>
        </w:rPr>
        <w:t xml:space="preserve">ării familiei se pot distinge primele caracteristici sociale – şi implicit, politice – ale societăţii antice faţă de care lumea creştină a NT va aduce perspective noi, contras</w:t>
      </w:r>
      <w:r>
        <w:rPr>
          <w:rFonts w:ascii="Gentium" w:hAnsi="Gentium" w:eastAsia="Gentium" w:cs="Gentium"/>
          <w:sz w:val="24"/>
          <w:szCs w:val="24"/>
        </w:rPr>
        <w:t xml:space="preserve">tante. Este adevărat, multe din aceste contraste se bazează pe contrastele fundamentale dintre regulile societăţilor păgâne şi cele ale societăţii evreieşti guvernate de prevederile Legii sinaitice, ale legământului religios – administrativ cu divinitatea.</w:t>
      </w:r>
      <w:r>
        <w:rPr>
          <w:rFonts w:ascii="Gentium" w:hAnsi="Gentium" w:eastAsia="Gentium" w:cs="Gentium"/>
          <w:sz w:val="24"/>
          <w:szCs w:val="24"/>
        </w:rPr>
        <w:t xml:space="preserve"> Legat de familie, sau pornind de aici</w:t>
      </w:r>
      <w:r>
        <w:rPr>
          <w:rFonts w:ascii="Gentium" w:hAnsi="Gentium" w:eastAsia="Gentium" w:cs="Gentium"/>
          <w:sz w:val="24"/>
          <w:szCs w:val="24"/>
        </w:rPr>
        <w:t xml:space="preserve">, pot fi urmărite şi fenomenele educaţiei, ale vieţii economice, şi chiar ale instituţiei </w:t>
      </w:r>
      <w:r>
        <w:rPr>
          <w:rFonts w:ascii="Gentium" w:hAnsi="Gentium" w:eastAsia="Gentium" w:cs="Gentium"/>
          <w:sz w:val="24"/>
          <w:szCs w:val="24"/>
        </w:rPr>
        <w:t xml:space="preserve">sclaviei</w:t>
      </w:r>
      <w:r>
        <w:rPr>
          <w:rFonts w:ascii="Gentium" w:hAnsi="Gentium" w:eastAsia="Gentium" w:cs="Gentium"/>
          <w:sz w:val="24"/>
          <w:szCs w:val="24"/>
        </w:rPr>
        <w:t xml:space="preserve">, ale relaţiilor dintre săraci şi bogaţi,</w:t>
      </w:r>
      <w:r>
        <w:rPr>
          <w:rFonts w:ascii="Gentium" w:hAnsi="Gentium" w:eastAsia="Gentium" w:cs="Gentium"/>
          <w:sz w:val="24"/>
          <w:szCs w:val="24"/>
        </w:rPr>
        <w:t xml:space="preserve"> </w:t>
      </w:r>
      <w:r>
        <w:rPr>
          <w:rFonts w:ascii="Gentium" w:hAnsi="Gentium" w:eastAsia="Gentium" w:cs="Gentium"/>
          <w:sz w:val="24"/>
          <w:szCs w:val="24"/>
        </w:rPr>
        <w:t xml:space="preserve">plecând </w:t>
      </w:r>
      <w:r>
        <w:rPr>
          <w:rFonts w:ascii="Gentium" w:hAnsi="Gentium" w:eastAsia="Gentium" w:cs="Gentium"/>
          <w:sz w:val="24"/>
          <w:szCs w:val="24"/>
        </w:rPr>
        <w:t xml:space="preserve">de la unitatea social economică </w:t>
      </w:r>
      <w:r>
        <w:rPr>
          <w:rFonts w:ascii="Gentium" w:hAnsi="Gentium" w:eastAsia="Gentium" w:cs="Gentium"/>
          <w:sz w:val="24"/>
          <w:szCs w:val="24"/>
        </w:rPr>
        <w:t xml:space="preserve">pe care o reprezenta casa extinsă.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5</w:t>
      </w:r>
      <w:r>
        <w:rPr>
          <w:rFonts w:ascii="Gentium" w:hAnsi="Gentium" w:eastAsia="Gentium" w:cs="Gentium"/>
          <w:sz w:val="24"/>
          <w:szCs w:val="24"/>
        </w:rPr>
        <w:t xml:space="preserve">.1.1 Familia</w:t>
      </w:r>
      <w:r>
        <w:rPr>
          <w:rFonts w:ascii="Gentium" w:hAnsi="Gentium" w:eastAsia="Gentium" w:cs="Gentium"/>
          <w:sz w:val="24"/>
          <w:szCs w:val="24"/>
        </w:rPr>
        <w:t xml:space="preserve"> </w:t>
      </w:r>
      <w:r>
        <w:rPr>
          <w:rFonts w:ascii="Gentium" w:hAnsi="Gentium" w:eastAsia="Gentium" w:cs="Gentium"/>
          <w:sz w:val="24"/>
          <w:szCs w:val="24"/>
        </w:rPr>
        <w:t xml:space="preserve">şi instituţia sclaviei </w:t>
      </w:r>
      <w:r>
        <w:rPr>
          <w:rFonts w:ascii="Gentium" w:hAnsi="Gentium" w:eastAsia="Gentium" w:cs="Gentium"/>
          <w:sz w:val="24"/>
          <w:szCs w:val="24"/>
        </w:rPr>
        <w:t xml:space="preserve">în societăţile păgâne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Formula cea mai </w:t>
      </w:r>
      <w:r>
        <w:rPr>
          <w:rFonts w:ascii="Gentium" w:hAnsi="Gentium" w:eastAsia="Gentium" w:cs="Gentium"/>
          <w:sz w:val="24"/>
          <w:szCs w:val="24"/>
        </w:rPr>
        <w:t xml:space="preserve">întâlnită</w:t>
      </w:r>
      <w:r>
        <w:rPr>
          <w:rFonts w:ascii="Gentium" w:hAnsi="Gentium" w:eastAsia="Gentium" w:cs="Gentium"/>
          <w:sz w:val="24"/>
          <w:szCs w:val="24"/>
        </w:rPr>
        <w:t xml:space="preserve"> în anchitate</w:t>
      </w:r>
      <w:r>
        <w:rPr>
          <w:rFonts w:ascii="Gentium" w:hAnsi="Gentium" w:eastAsia="Gentium" w:cs="Gentium"/>
          <w:sz w:val="24"/>
          <w:szCs w:val="24"/>
        </w:rPr>
        <w:t xml:space="preserve"> era familia monogamă, deşi în anumite societăţi, se întâlnea şi poligamia</w:t>
      </w:r>
      <w:r>
        <w:rPr>
          <w:rFonts w:ascii="Gentium" w:hAnsi="Gentium" w:eastAsia="Gentium" w:cs="Gentium"/>
          <w:sz w:val="24"/>
          <w:szCs w:val="24"/>
        </w:rPr>
        <w:t xml:space="preserve"> (în Sparta era permisă şi poliandria – o femeie putea avea doi soţi, dacă se dovedea că este sănătoasă şi naşte copii sănătoşi, cf. Xenofon</w:t>
      </w:r>
      <w:r>
        <w:rPr>
          <w:rFonts w:ascii="Gentium" w:hAnsi="Gentium" w:eastAsia="Gentium" w:cs="Gentium"/>
          <w:sz w:val="24"/>
          <w:szCs w:val="24"/>
        </w:rPr>
        <w:t xml:space="preserve">, </w:t>
      </w:r>
      <w:r>
        <w:rPr>
          <w:rFonts w:ascii="Gentium" w:hAnsi="Gentium" w:eastAsia="Gentium" w:cs="Gentium"/>
          <w:i/>
          <w:sz w:val="24"/>
          <w:szCs w:val="24"/>
        </w:rPr>
        <w:t xml:space="preserve">Istoria</w:t>
      </w:r>
      <w:r>
        <w:rPr>
          <w:rFonts w:ascii="Gentium" w:hAnsi="Gentium" w:eastAsia="Gentium" w:cs="Gentium"/>
          <w:sz w:val="24"/>
          <w:szCs w:val="24"/>
        </w:rPr>
        <w:t xml:space="preserve">)</w:t>
      </w:r>
      <w:r>
        <w:rPr>
          <w:rFonts w:ascii="Gentium" w:hAnsi="Gentium" w:eastAsia="Gentium" w:cs="Gentium"/>
          <w:sz w:val="24"/>
          <w:szCs w:val="24"/>
        </w:rPr>
        <w:t xml:space="preserve">.</w:t>
      </w:r>
      <w:r>
        <w:rPr>
          <w:rFonts w:ascii="Gentium" w:hAnsi="Gentium" w:eastAsia="Gentium" w:cs="Gentium"/>
          <w:sz w:val="24"/>
          <w:szCs w:val="24"/>
        </w:rPr>
        <w:t xml:space="preserve"> Importanţa familiei era deplin recunoscută. În Roma, de exemplu, </w:t>
      </w:r>
      <w:r>
        <w:rPr>
          <w:rFonts w:ascii="Gentium" w:hAnsi="Gentium" w:eastAsia="Gentium" w:cs="Gentium"/>
          <w:sz w:val="24"/>
          <w:szCs w:val="24"/>
        </w:rPr>
        <w:t xml:space="preserve">era </w:t>
      </w:r>
      <w:r>
        <w:rPr>
          <w:rFonts w:ascii="Gentium" w:hAnsi="Gentium" w:eastAsia="Gentium" w:cs="Gentium"/>
          <w:sz w:val="24"/>
          <w:szCs w:val="24"/>
        </w:rPr>
        <w:t xml:space="preserve">recunoscut</w:t>
      </w:r>
      <w:r>
        <w:rPr>
          <w:rFonts w:ascii="Gentium" w:hAnsi="Gentium" w:eastAsia="Gentium" w:cs="Gentium"/>
          <w:sz w:val="24"/>
          <w:szCs w:val="24"/>
        </w:rPr>
        <w:t xml:space="preserve"> că </w:t>
      </w:r>
      <w:r>
        <w:rPr>
          <w:rFonts w:ascii="Gentium" w:hAnsi="Gentium" w:eastAsia="Gentium" w:cs="Gentium"/>
          <w:sz w:val="24"/>
          <w:szCs w:val="24"/>
        </w:rPr>
        <w:t xml:space="preserve">cineva nu putea accede la putere dacă familia sa (clanul, </w:t>
      </w:r>
      <w:r>
        <w:rPr>
          <w:rFonts w:ascii="Gentium" w:hAnsi="Gentium" w:eastAsia="Gentium" w:cs="Gentium"/>
          <w:i/>
          <w:sz w:val="24"/>
          <w:szCs w:val="24"/>
        </w:rPr>
        <w:t xml:space="preserve">gens</w:t>
      </w:r>
      <w:r>
        <w:rPr>
          <w:rFonts w:ascii="Gentium" w:hAnsi="Gentium" w:eastAsia="Gentium" w:cs="Gentium"/>
          <w:sz w:val="24"/>
          <w:szCs w:val="24"/>
        </w:rPr>
        <w:t xml:space="preserve">) nu avusese reprezentanţi deja, printre senatori sau consuli. 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În ce priveşte c</w:t>
      </w:r>
      <w:r>
        <w:rPr>
          <w:rFonts w:ascii="Gentium" w:hAnsi="Gentium" w:eastAsia="Gentium" w:cs="Gentium"/>
          <w:sz w:val="24"/>
          <w:szCs w:val="24"/>
        </w:rPr>
        <w:t xml:space="preserve">opii</w:t>
      </w:r>
      <w:r>
        <w:rPr>
          <w:rFonts w:ascii="Gentium" w:hAnsi="Gentium" w:eastAsia="Gentium" w:cs="Gentium"/>
          <w:sz w:val="24"/>
          <w:szCs w:val="24"/>
        </w:rPr>
        <w:t xml:space="preserve">, aceştia nu erau la fel de </w:t>
      </w:r>
      <w:r>
        <w:rPr>
          <w:rFonts w:ascii="Gentium" w:hAnsi="Gentium" w:eastAsia="Gentium" w:cs="Gentium"/>
          <w:sz w:val="24"/>
          <w:szCs w:val="24"/>
        </w:rPr>
        <w:t xml:space="preserve">preţuiţi</w:t>
      </w:r>
      <w:r>
        <w:rPr>
          <w:rFonts w:ascii="Gentium" w:hAnsi="Gentium" w:eastAsia="Gentium" w:cs="Gentium"/>
          <w:sz w:val="24"/>
          <w:szCs w:val="24"/>
        </w:rPr>
        <w:t xml:space="preserve"> în toate ţările</w:t>
      </w:r>
      <w:r>
        <w:rPr>
          <w:rFonts w:ascii="Gentium" w:hAnsi="Gentium" w:eastAsia="Gentium" w:cs="Gentium"/>
          <w:sz w:val="24"/>
          <w:szCs w:val="24"/>
        </w:rPr>
        <w:t xml:space="preserve">. În Grecia şi Roma se practica avortul şi abandonul. </w:t>
      </w:r>
      <w:r>
        <w:rPr>
          <w:rFonts w:ascii="Gentium" w:hAnsi="Gentium" w:eastAsia="Gentium" w:cs="Gentium"/>
          <w:sz w:val="24"/>
          <w:szCs w:val="24"/>
        </w:rPr>
        <w:t xml:space="preserve">În timpul secetei, Tibrul arăta un spectacol deplorabil de oseminte de copii sau foetuşi înecaţi. Spartanii se debarasau de nou născuţii slabi sau cu handicap aruncându-i în prăpasti</w:t>
      </w:r>
      <w:r>
        <w:rPr>
          <w:rFonts w:ascii="Gentium" w:hAnsi="Gentium" w:eastAsia="Gentium" w:cs="Gentium"/>
          <w:sz w:val="24"/>
          <w:szCs w:val="24"/>
        </w:rPr>
        <w:t xml:space="preserve">e (Plutarch, </w:t>
      </w:r>
      <w:r>
        <w:rPr>
          <w:rFonts w:ascii="Gentium" w:hAnsi="Gentium" w:eastAsia="Gentium" w:cs="Gentium"/>
          <w:i/>
          <w:sz w:val="24"/>
          <w:szCs w:val="24"/>
        </w:rPr>
        <w:t xml:space="preserve">Vieţi Paralele</w:t>
      </w:r>
      <w:r>
        <w:rPr>
          <w:rFonts w:ascii="Gentium" w:hAnsi="Gentium" w:eastAsia="Gentium" w:cs="Gentium"/>
          <w:sz w:val="24"/>
          <w:szCs w:val="24"/>
        </w:rPr>
        <w:t xml:space="preserve">)</w:t>
      </w:r>
      <w:r>
        <w:rPr>
          <w:rFonts w:ascii="Gentium" w:hAnsi="Gentium" w:eastAsia="Gentium" w:cs="Gentium"/>
          <w:sz w:val="24"/>
          <w:szCs w:val="24"/>
        </w:rPr>
        <w:t xml:space="preserve">. Egiptenii şi evreii </w:t>
      </w:r>
      <w:r>
        <w:rPr>
          <w:rFonts w:ascii="Gentium" w:hAnsi="Gentium" w:eastAsia="Gentium" w:cs="Gentium"/>
          <w:sz w:val="24"/>
          <w:szCs w:val="24"/>
        </w:rPr>
        <w:t xml:space="preserve">erau </w:t>
      </w:r>
      <w:r>
        <w:rPr>
          <w:rFonts w:ascii="Gentium" w:hAnsi="Gentium" w:eastAsia="Gentium" w:cs="Gentium"/>
          <w:sz w:val="24"/>
          <w:szCs w:val="24"/>
        </w:rPr>
        <w:t xml:space="preserve">categoric împotriva acestor practici şi preţuiau în mod clar mult mai mult viaţa unui nou născut.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Copiii sclavilor puteau să aibă drepturi în Grecia – dar nu şi în Roma. La romani, căsătoria unui sclav nu era recunoscută, nici dreptul său de pater familias, pentru că un sclav nu avea nici un drept.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Copiii primeau o educaţie formală, adesea din partea unor sclavi profesori. Materiile studiate erau </w:t>
      </w:r>
      <w:r>
        <w:rPr>
          <w:rFonts w:ascii="Gentium" w:hAnsi="Gentium" w:eastAsia="Gentium" w:cs="Gentium"/>
          <w:sz w:val="24"/>
          <w:szCs w:val="24"/>
        </w:rPr>
        <w:t xml:space="preserve">literatura (</w:t>
      </w:r>
      <w:r>
        <w:rPr>
          <w:rFonts w:ascii="Gentium" w:hAnsi="Gentium" w:eastAsia="Gentium" w:cs="Gentium"/>
          <w:sz w:val="24"/>
          <w:szCs w:val="24"/>
        </w:rPr>
        <w:t xml:space="preserve">poezia, elocinţa</w:t>
      </w:r>
      <w:r>
        <w:rPr>
          <w:rFonts w:ascii="Gentium" w:hAnsi="Gentium" w:eastAsia="Gentium" w:cs="Gentium"/>
          <w:sz w:val="24"/>
          <w:szCs w:val="24"/>
        </w:rPr>
        <w:t xml:space="preserve">),</w:t>
      </w:r>
      <w:r>
        <w:rPr>
          <w:rFonts w:ascii="Gentium" w:hAnsi="Gentium" w:eastAsia="Gentium" w:cs="Gentium"/>
          <w:sz w:val="24"/>
          <w:szCs w:val="24"/>
        </w:rPr>
        <w:t xml:space="preserve"> sportul</w:t>
      </w:r>
      <w:r>
        <w:rPr>
          <w:rFonts w:ascii="Gentium" w:hAnsi="Gentium" w:eastAsia="Gentium" w:cs="Gentium"/>
          <w:sz w:val="24"/>
          <w:szCs w:val="24"/>
        </w:rPr>
        <w:t xml:space="preserve"> şi muzica</w:t>
      </w:r>
      <w:r>
        <w:rPr>
          <w:rFonts w:ascii="Gentium" w:hAnsi="Gentium" w:eastAsia="Gentium" w:cs="Gentium"/>
          <w:sz w:val="24"/>
          <w:szCs w:val="24"/>
        </w:rPr>
        <w:t xml:space="preserve">. </w:t>
      </w:r>
      <w:r>
        <w:rPr>
          <w:rFonts w:ascii="Gentium" w:hAnsi="Gentium" w:eastAsia="Gentium" w:cs="Gentium"/>
          <w:sz w:val="24"/>
          <w:szCs w:val="24"/>
        </w:rPr>
        <w:t xml:space="preserve">Matematicile aplicate în domeniul ingineresc erau o specializare târzie, răspândită cu precădere la romani şi la egipteni.</w:t>
      </w:r>
      <w:r>
        <w:rPr>
          <w:rFonts w:ascii="Gentium" w:hAnsi="Gentium" w:eastAsia="Gentium" w:cs="Gentium"/>
          <w:sz w:val="24"/>
          <w:szCs w:val="24"/>
        </w:rPr>
        <w:t xml:space="preserve"> </w:t>
      </w:r>
      <w:r>
        <w:rPr>
          <w:rFonts w:ascii="Gentium" w:hAnsi="Gentium" w:eastAsia="Gentium" w:cs="Gentium"/>
          <w:sz w:val="24"/>
          <w:szCs w:val="24"/>
        </w:rPr>
        <w:t xml:space="preserve">Şcoala începea la 7 ani şi continua trei-patru ani, în mod obişnuit, sau chiar până la vârsta de </w:t>
      </w:r>
      <w:r>
        <w:rPr>
          <w:rFonts w:ascii="Gentium" w:hAnsi="Gentium" w:eastAsia="Gentium" w:cs="Gentium"/>
          <w:sz w:val="24"/>
          <w:szCs w:val="24"/>
        </w:rPr>
        <w:t xml:space="preserve">17-</w:t>
      </w:r>
      <w:r>
        <w:rPr>
          <w:rFonts w:ascii="Gentium" w:hAnsi="Gentium" w:eastAsia="Gentium" w:cs="Gentium"/>
          <w:sz w:val="24"/>
          <w:szCs w:val="24"/>
        </w:rPr>
        <w:t xml:space="preserve">18 ani. </w:t>
      </w:r>
      <w:r>
        <w:rPr>
          <w:rFonts w:ascii="Gentium" w:hAnsi="Gentium" w:eastAsia="Gentium" w:cs="Gentium"/>
          <w:sz w:val="24"/>
          <w:szCs w:val="24"/>
        </w:rPr>
        <w:t xml:space="preserve">Se poate estima că în Atena antică jumătate din bărbaţi erau în stare să scrie şi să citească (</w:t>
      </w:r>
      <w:r>
        <w:rPr>
          <w:rFonts w:ascii="Gentium" w:hAnsi="Gentium" w:eastAsia="Gentium" w:cs="Gentium"/>
          <w:sz w:val="24"/>
          <w:szCs w:val="24"/>
        </w:rPr>
        <w:t xml:space="preserve">în anii 300 îH </w:t>
      </w:r>
      <w:r>
        <w:rPr>
          <w:rFonts w:ascii="Gentium" w:hAnsi="Gentium" w:eastAsia="Gentium" w:cs="Gentium"/>
          <w:sz w:val="24"/>
          <w:szCs w:val="24"/>
        </w:rPr>
        <w:t xml:space="preserve">erau aprox. 20,000 - 30,000 bărbaţi în total</w:t>
      </w:r>
      <w:r>
        <w:rPr>
          <w:rFonts w:ascii="Gentium" w:hAnsi="Gentium" w:eastAsia="Gentium" w:cs="Gentium"/>
          <w:sz w:val="24"/>
          <w:szCs w:val="24"/>
        </w:rPr>
        <w:t xml:space="preserve">, 10,000 de străini sau vizitatori</w:t>
      </w:r>
      <w:r>
        <w:rPr>
          <w:rFonts w:ascii="Gentium" w:hAnsi="Gentium" w:eastAsia="Gentium" w:cs="Gentium"/>
          <w:sz w:val="24"/>
          <w:szCs w:val="24"/>
        </w:rPr>
        <w:t xml:space="preserve"> – cam 1/3 – iar străinii nu aveau drept de proprietate şi nici de căsătorie în Atena;</w:t>
      </w:r>
      <w:r>
        <w:rPr>
          <w:rFonts w:ascii="Gentium" w:hAnsi="Gentium" w:eastAsia="Gentium" w:cs="Gentium"/>
          <w:sz w:val="24"/>
          <w:szCs w:val="24"/>
        </w:rPr>
        <w:t xml:space="preserve"> şi 100,000 </w:t>
      </w:r>
      <w:r>
        <w:rPr>
          <w:rFonts w:ascii="Gentium" w:hAnsi="Gentium" w:eastAsia="Gentium" w:cs="Gentium"/>
          <w:sz w:val="24"/>
          <w:szCs w:val="24"/>
        </w:rPr>
        <w:t xml:space="preserve">– 300,000 </w:t>
      </w:r>
      <w:r>
        <w:rPr>
          <w:rFonts w:ascii="Gentium" w:hAnsi="Gentium" w:eastAsia="Gentium" w:cs="Gentium"/>
          <w:sz w:val="24"/>
          <w:szCs w:val="24"/>
        </w:rPr>
        <w:t xml:space="preserve">de sclavi</w:t>
      </w:r>
      <w:r>
        <w:rPr>
          <w:rFonts w:ascii="Gentium" w:hAnsi="Gentium" w:eastAsia="Gentium" w:cs="Gentium"/>
          <w:sz w:val="24"/>
          <w:szCs w:val="24"/>
        </w:rPr>
        <w:t xml:space="preserve">)</w:t>
      </w:r>
      <w:r>
        <w:rPr>
          <w:rFonts w:ascii="Gentium" w:hAnsi="Gentium" w:eastAsia="Gentium" w:cs="Gentium"/>
          <w:sz w:val="24"/>
          <w:szCs w:val="24"/>
        </w:rPr>
        <w:t xml:space="preserve">.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Relaţiile între soţi şi soţii erau dezechilibrate în sensul </w:t>
      </w:r>
      <w:r>
        <w:rPr>
          <w:rFonts w:ascii="Gentium" w:hAnsi="Gentium" w:eastAsia="Gentium" w:cs="Gentium"/>
          <w:sz w:val="24"/>
          <w:szCs w:val="24"/>
        </w:rPr>
        <w:t xml:space="preserve">atriuirii unui statut inferior </w:t>
      </w:r>
      <w:r>
        <w:rPr>
          <w:rFonts w:ascii="Gentium" w:hAnsi="Gentium" w:eastAsia="Gentium" w:cs="Gentium"/>
          <w:sz w:val="24"/>
          <w:szCs w:val="24"/>
        </w:rPr>
        <w:t xml:space="preserve">femeii faţă de bărbat. Aristotel</w:t>
      </w:r>
      <w:r>
        <w:rPr>
          <w:rFonts w:ascii="Gentium" w:hAnsi="Gentium" w:eastAsia="Gentium" w:cs="Gentium"/>
          <w:sz w:val="24"/>
          <w:szCs w:val="24"/>
        </w:rPr>
        <w:t xml:space="preserve">, Politica 1.1.5-6</w:t>
      </w:r>
      <w:r>
        <w:rPr>
          <w:rFonts w:ascii="Gentium" w:hAnsi="Gentium" w:eastAsia="Gentium" w:cs="Gentium"/>
          <w:sz w:val="24"/>
          <w:szCs w:val="24"/>
        </w:rPr>
        <w:t xml:space="preserve"> şi Josephus</w:t>
      </w:r>
      <w:r>
        <w:rPr>
          <w:rFonts w:ascii="Gentium" w:hAnsi="Gentium" w:eastAsia="Gentium" w:cs="Gentium"/>
          <w:sz w:val="24"/>
          <w:szCs w:val="24"/>
        </w:rPr>
        <w:t xml:space="preserve">, Antichităţi 4.219,</w:t>
      </w:r>
      <w:r>
        <w:rPr>
          <w:rFonts w:ascii="Gentium" w:hAnsi="Gentium" w:eastAsia="Gentium" w:cs="Gentium"/>
          <w:sz w:val="24"/>
          <w:szCs w:val="24"/>
        </w:rPr>
        <w:t xml:space="preserve"> asemănau statutul femeii în familie cu cel al unui sclav.</w:t>
      </w:r>
      <w:r>
        <w:rPr>
          <w:rFonts w:ascii="Gentium" w:hAnsi="Gentium" w:eastAsia="Gentium" w:cs="Gentium"/>
          <w:sz w:val="24"/>
          <w:szCs w:val="24"/>
        </w:rPr>
        <w:t xml:space="preserve"> Grecii (de ex., Aristotel) considerau că femeia este mai puţin dotată intelectual decât bărbatul.</w:t>
      </w:r>
      <w:r>
        <w:rPr>
          <w:rFonts w:ascii="Gentium" w:hAnsi="Gentium" w:eastAsia="Gentium" w:cs="Gentium"/>
          <w:sz w:val="24"/>
          <w:szCs w:val="24"/>
        </w:rPr>
        <w:t xml:space="preserve"> Sofocle, în piesa Tereus, </w:t>
      </w:r>
      <w:r>
        <w:rPr>
          <w:rFonts w:ascii="Gentium" w:hAnsi="Gentium" w:eastAsia="Gentium" w:cs="Gentium"/>
          <w:sz w:val="24"/>
          <w:szCs w:val="24"/>
        </w:rPr>
        <w:t xml:space="preserve">583f., </w:t>
      </w:r>
      <w:r>
        <w:rPr>
          <w:rFonts w:ascii="Gentium" w:hAnsi="Gentium" w:eastAsia="Gentium" w:cs="Gentium"/>
          <w:sz w:val="24"/>
          <w:szCs w:val="24"/>
        </w:rPr>
        <w:t xml:space="preserve">scrie că „prostituatele (hetairai) sunt pentru plăcere, amantele pentru revigorare fizică, iar soţiile pentru a procrea copii legitimi şi pentru a avea grijă de casă cu credincioşie”</w:t>
      </w:r>
      <w:r>
        <w:rPr>
          <w:rFonts w:ascii="Gentium" w:hAnsi="Gentium" w:eastAsia="Gentium" w:cs="Gentium"/>
          <w:sz w:val="24"/>
          <w:szCs w:val="24"/>
        </w:rPr>
        <w:t xml:space="preserve"> (femeile ateniene nu participau la </w:t>
      </w:r>
      <w:r>
        <w:rPr>
          <w:rFonts w:ascii="Gentium" w:hAnsi="Gentium" w:eastAsia="Gentium" w:cs="Gentium"/>
          <w:sz w:val="24"/>
          <w:szCs w:val="24"/>
        </w:rPr>
        <w:t xml:space="preserve">petreceri, simpozioane, ci rămâneau acasă)</w:t>
      </w:r>
      <w:r>
        <w:rPr>
          <w:rFonts w:ascii="Gentium" w:hAnsi="Gentium" w:eastAsia="Gentium" w:cs="Gentium"/>
          <w:sz w:val="24"/>
          <w:szCs w:val="24"/>
        </w:rPr>
        <w:t xml:space="preserve">.</w:t>
      </w:r>
      <w:r>
        <w:rPr>
          <w:rFonts w:ascii="Gentium" w:hAnsi="Gentium" w:eastAsia="Gentium" w:cs="Gentium"/>
          <w:sz w:val="24"/>
          <w:szCs w:val="24"/>
        </w:rPr>
        <w:t xml:space="preserve"> În comparaţie cu Grecia, în Roma şi în Egipt femeile primeau un respect mai mare</w:t>
      </w:r>
      <w:r>
        <w:rPr>
          <w:rFonts w:ascii="Gentium" w:hAnsi="Gentium" w:eastAsia="Gentium" w:cs="Gentium"/>
          <w:sz w:val="24"/>
          <w:szCs w:val="24"/>
        </w:rPr>
        <w:t xml:space="preserve"> şi aveau roluri de conducere în societate.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Diferenţele de venit </w:t>
      </w:r>
      <w:r>
        <w:rPr>
          <w:rFonts w:ascii="Gentium" w:hAnsi="Gentium" w:eastAsia="Gentium" w:cs="Gentium"/>
          <w:sz w:val="24"/>
          <w:szCs w:val="24"/>
        </w:rPr>
        <w:t xml:space="preserve">între familii </w:t>
      </w:r>
      <w:r>
        <w:rPr>
          <w:rFonts w:ascii="Gentium" w:hAnsi="Gentium" w:eastAsia="Gentium" w:cs="Gentium"/>
          <w:sz w:val="24"/>
          <w:szCs w:val="24"/>
        </w:rPr>
        <w:t xml:space="preserve">erau foarte mari. V</w:t>
      </w:r>
      <w:r>
        <w:rPr>
          <w:rFonts w:ascii="Gentium" w:hAnsi="Gentium" w:eastAsia="Gentium" w:cs="Gentium"/>
          <w:sz w:val="24"/>
          <w:szCs w:val="24"/>
        </w:rPr>
        <w:t xml:space="preserve">enitul unei familii bogate putea fi şi de 1000 de ori mai mare decât venitul unei familii sărace.</w:t>
      </w:r>
      <w:r>
        <w:rPr>
          <w:rStyle w:val="1732"/>
          <w:rFonts w:ascii="Gentium" w:hAnsi="Gentium" w:eastAsia="Gentium" w:cs="Gentium"/>
          <w:sz w:val="24"/>
          <w:szCs w:val="24"/>
        </w:rPr>
        <w:footnoteReference w:id="4"/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Deşi familia propriu-zisă era formată din copii şi părinţi, adesea prin famili</w:t>
      </w:r>
      <w:r>
        <w:rPr>
          <w:rFonts w:ascii="Gentium" w:hAnsi="Gentium" w:eastAsia="Gentium" w:cs="Gentium"/>
          <w:sz w:val="24"/>
          <w:szCs w:val="24"/>
        </w:rPr>
        <w:t xml:space="preserve">e sau „casă” se înţelegea şi familia extinsă, văzută ca unitate economică (aici se includeau şi slujitorii, sclavii şi familiile acestora, recunoscute ca atare sau nu; şi la evrei exista noţiunea de „casă” ca familie extinsă şi unitate economică şi socială</w:t>
      </w:r>
      <w:r>
        <w:rPr>
          <w:rFonts w:ascii="Gentium" w:hAnsi="Gentium" w:eastAsia="Gentium" w:cs="Gentium"/>
          <w:sz w:val="24"/>
          <w:szCs w:val="24"/>
        </w:rPr>
        <w:t xml:space="preserve">, cf. casa lui Avraam</w:t>
      </w:r>
      <w:r>
        <w:rPr>
          <w:rFonts w:ascii="Gentium" w:hAnsi="Gentium" w:eastAsia="Gentium" w:cs="Gentium"/>
          <w:sz w:val="24"/>
          <w:szCs w:val="24"/>
        </w:rPr>
        <w:t xml:space="preserve">).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O casă putea avea mai mulţi sclavi, în funcţie de nevoi, lucrări şi afaceri. </w:t>
      </w:r>
      <w:r>
        <w:rPr>
          <w:rFonts w:ascii="Gentium" w:hAnsi="Gentium" w:eastAsia="Gentium" w:cs="Gentium"/>
          <w:sz w:val="24"/>
          <w:szCs w:val="24"/>
        </w:rPr>
        <w:t xml:space="preserve">În general, numărul varia de la 1-14 sclavi. Familiile bogate aveau mai mulţi. </w:t>
      </w:r>
      <w:r>
        <w:rPr>
          <w:rFonts w:ascii="Gentium" w:hAnsi="Gentium" w:eastAsia="Gentium" w:cs="Gentium"/>
          <w:sz w:val="24"/>
          <w:szCs w:val="24"/>
        </w:rPr>
        <w:t xml:space="preserve">Tatăl lui Demostene avea două „fabrici”</w:t>
      </w:r>
      <w:r>
        <w:rPr>
          <w:rFonts w:ascii="Gentium" w:hAnsi="Gentium" w:eastAsia="Gentium" w:cs="Gentium"/>
          <w:sz w:val="24"/>
          <w:szCs w:val="24"/>
        </w:rPr>
        <w:t xml:space="preserve">:</w:t>
      </w:r>
      <w:r>
        <w:rPr>
          <w:rFonts w:ascii="Gentium" w:hAnsi="Gentium" w:eastAsia="Gentium" w:cs="Gentium"/>
          <w:sz w:val="24"/>
          <w:szCs w:val="24"/>
        </w:rPr>
        <w:t xml:space="preserve"> </w:t>
      </w:r>
      <w:r>
        <w:rPr>
          <w:rFonts w:ascii="Gentium" w:hAnsi="Gentium" w:eastAsia="Gentium" w:cs="Gentium"/>
          <w:sz w:val="24"/>
          <w:szCs w:val="24"/>
        </w:rPr>
        <w:t xml:space="preserve">una </w:t>
      </w:r>
      <w:r>
        <w:rPr>
          <w:rFonts w:ascii="Gentium" w:hAnsi="Gentium" w:eastAsia="Gentium" w:cs="Gentium"/>
          <w:sz w:val="24"/>
          <w:szCs w:val="24"/>
        </w:rPr>
        <w:t xml:space="preserve">cu 30 de sclavi – pentru </w:t>
      </w:r>
      <w:r>
        <w:rPr>
          <w:rFonts w:ascii="Gentium" w:hAnsi="Gentium" w:eastAsia="Gentium" w:cs="Gentium"/>
          <w:sz w:val="24"/>
          <w:szCs w:val="24"/>
        </w:rPr>
        <w:t xml:space="preserve">manufacturat</w:t>
      </w:r>
      <w:r>
        <w:rPr>
          <w:rFonts w:ascii="Gentium" w:hAnsi="Gentium" w:eastAsia="Gentium" w:cs="Gentium"/>
          <w:sz w:val="24"/>
          <w:szCs w:val="24"/>
        </w:rPr>
        <w:t xml:space="preserve"> săbii, </w:t>
      </w:r>
      <w:r>
        <w:rPr>
          <w:rFonts w:ascii="Gentium" w:hAnsi="Gentium" w:eastAsia="Gentium" w:cs="Gentium"/>
          <w:sz w:val="24"/>
          <w:szCs w:val="24"/>
        </w:rPr>
        <w:t xml:space="preserve">şi</w:t>
      </w:r>
      <w:r>
        <w:rPr>
          <w:rFonts w:ascii="Gentium" w:hAnsi="Gentium" w:eastAsia="Gentium" w:cs="Gentium"/>
          <w:sz w:val="24"/>
          <w:szCs w:val="24"/>
        </w:rPr>
        <w:t xml:space="preserve"> una cu 2</w:t>
      </w:r>
      <w:r>
        <w:rPr>
          <w:rFonts w:ascii="Gentium" w:hAnsi="Gentium" w:eastAsia="Gentium" w:cs="Gentium"/>
          <w:sz w:val="24"/>
          <w:szCs w:val="24"/>
        </w:rPr>
        <w:t xml:space="preserve">0 de sclavi</w:t>
      </w:r>
      <w:r>
        <w:rPr>
          <w:rFonts w:ascii="Gentium" w:hAnsi="Gentium" w:eastAsia="Gentium" w:cs="Gentium"/>
          <w:sz w:val="24"/>
          <w:szCs w:val="24"/>
        </w:rPr>
        <w:t xml:space="preserve">, pentru făcut canapele (paturi)</w:t>
      </w:r>
      <w:r>
        <w:rPr>
          <w:rFonts w:ascii="Gentium" w:hAnsi="Gentium" w:eastAsia="Gentium" w:cs="Gentium"/>
          <w:sz w:val="24"/>
          <w:szCs w:val="24"/>
        </w:rPr>
        <w:t xml:space="preserve">.</w:t>
      </w:r>
      <w:r>
        <w:rPr>
          <w:rFonts w:ascii="Gentium" w:hAnsi="Gentium" w:eastAsia="Gentium" w:cs="Gentium"/>
          <w:sz w:val="24"/>
          <w:szCs w:val="24"/>
        </w:rPr>
        <w:t xml:space="preserve"> Lysias avea o fabrică cu 120 de sclavi.</w:t>
      </w:r>
      <w:r>
        <w:rPr>
          <w:rStyle w:val="1732"/>
          <w:rFonts w:ascii="Gentium" w:hAnsi="Gentium" w:eastAsia="Gentium" w:cs="Gentium"/>
          <w:sz w:val="24"/>
          <w:szCs w:val="24"/>
        </w:rPr>
        <w:footnoteReference w:id="5"/>
      </w:r>
      <w:r>
        <w:rPr>
          <w:rFonts w:ascii="Gentium" w:hAnsi="Gentium" w:eastAsia="Gentium" w:cs="Gentium"/>
          <w:sz w:val="24"/>
          <w:szCs w:val="24"/>
        </w:rPr>
        <w:t xml:space="preserve"> Un anume Nicias </w:t>
      </w:r>
      <w:r>
        <w:rPr>
          <w:rFonts w:ascii="Gentium" w:hAnsi="Gentium" w:eastAsia="Gentium" w:cs="Gentium"/>
          <w:sz w:val="24"/>
          <w:szCs w:val="24"/>
        </w:rPr>
        <w:t xml:space="preserve">din Atena </w:t>
      </w:r>
      <w:r>
        <w:rPr>
          <w:rFonts w:ascii="Gentium" w:hAnsi="Gentium" w:eastAsia="Gentium" w:cs="Gentium"/>
          <w:sz w:val="24"/>
          <w:szCs w:val="24"/>
        </w:rPr>
        <w:t xml:space="preserve">avea 1000 de scl</w:t>
      </w:r>
      <w:r>
        <w:rPr>
          <w:rFonts w:ascii="Gentium" w:hAnsi="Gentium" w:eastAsia="Gentium" w:cs="Gentium"/>
          <w:sz w:val="24"/>
          <w:szCs w:val="24"/>
        </w:rPr>
        <w:t xml:space="preserve">avi care</w:t>
      </w:r>
      <w:r>
        <w:rPr>
          <w:rFonts w:ascii="Gentium" w:hAnsi="Gentium" w:eastAsia="Gentium" w:cs="Gentium"/>
          <w:sz w:val="24"/>
          <w:szCs w:val="24"/>
        </w:rPr>
        <w:t xml:space="preserve"> lucrau pentru el la minerit.</w:t>
      </w:r>
      <w:r>
        <w:rPr>
          <w:rFonts w:ascii="Gentium" w:hAnsi="Gentium" w:eastAsia="Gentium" w:cs="Gentium"/>
          <w:sz w:val="24"/>
          <w:szCs w:val="24"/>
        </w:rPr>
        <w:t xml:space="preserve"> In general, fiecare cetaţean din Atena avea cel puţin un sclav. Şi militarii aveau sclavii lor care îi însoţeau în război.</w:t>
      </w:r>
      <w:r>
        <w:rPr>
          <w:rFonts w:ascii="Gentium" w:hAnsi="Gentium" w:eastAsia="Gentium" w:cs="Gentium"/>
          <w:sz w:val="24"/>
          <w:szCs w:val="24"/>
        </w:rPr>
        <w:t xml:space="preserve"> Sclavii erau vânduţi la licitaţie.</w:t>
      </w:r>
      <w:r>
        <w:rPr>
          <w:rFonts w:ascii="Gentium" w:hAnsi="Gentium" w:eastAsia="Gentium" w:cs="Gentium"/>
          <w:sz w:val="24"/>
          <w:szCs w:val="24"/>
        </w:rPr>
        <w:t xml:space="preserve"> În Atena raportul oameni liberi – sclavi era de 1/3 – 1/10 (30,000 oameni liberi, 300,000 sclavi). Roma avea 25 – 40% sclavi. În imperiul roman sclavii erau cam o pătrime din toată populaţia. </w:t>
      </w:r>
      <w:r>
        <w:rPr>
          <w:rFonts w:ascii="Gentium" w:hAnsi="Gentium" w:eastAsia="Gentium" w:cs="Gentium"/>
          <w:sz w:val="24"/>
          <w:szCs w:val="24"/>
        </w:rPr>
        <w:t xml:space="preserve">În Roma ca atare, </w:t>
      </w:r>
      <w:r>
        <w:rPr>
          <w:rFonts w:ascii="Gentium" w:hAnsi="Gentium" w:eastAsia="Gentium" w:cs="Gentium"/>
          <w:sz w:val="24"/>
          <w:szCs w:val="24"/>
        </w:rPr>
        <w:t xml:space="preserve">unii din proprietari deţineau un număr mai mare de sclavi</w:t>
      </w:r>
      <w:r>
        <w:rPr>
          <w:rFonts w:ascii="Gentium" w:hAnsi="Gentium" w:eastAsia="Gentium" w:cs="Gentium"/>
          <w:sz w:val="24"/>
          <w:szCs w:val="24"/>
        </w:rPr>
        <w:t xml:space="preserve"> decât cei din Atena</w:t>
      </w:r>
      <w:r>
        <w:rPr>
          <w:rFonts w:ascii="Gentium" w:hAnsi="Gentium" w:eastAsia="Gentium" w:cs="Gentium"/>
          <w:sz w:val="24"/>
          <w:szCs w:val="24"/>
        </w:rPr>
        <w:t xml:space="preserve">: prefectul Pedanius avea </w:t>
      </w:r>
      <w:r>
        <w:rPr>
          <w:rFonts w:ascii="Gentium" w:hAnsi="Gentium" w:eastAsia="Gentium" w:cs="Gentium"/>
          <w:sz w:val="24"/>
          <w:szCs w:val="24"/>
        </w:rPr>
        <w:t xml:space="preserve">400 </w:t>
      </w:r>
      <w:r>
        <w:rPr>
          <w:rFonts w:ascii="Gentium" w:hAnsi="Gentium" w:eastAsia="Gentium" w:cs="Gentium"/>
          <w:sz w:val="24"/>
          <w:szCs w:val="24"/>
        </w:rPr>
        <w:t xml:space="preserve">de sclavi</w:t>
      </w:r>
      <w:r>
        <w:rPr>
          <w:rFonts w:ascii="Gentium" w:hAnsi="Gentium" w:eastAsia="Gentium" w:cs="Gentium"/>
          <w:sz w:val="24"/>
          <w:szCs w:val="24"/>
        </w:rPr>
        <w:t xml:space="preserve"> (Tac. </w:t>
      </w:r>
      <w:r>
        <w:rPr>
          <w:rFonts w:ascii="Gentium" w:hAnsi="Gentium" w:eastAsia="Gentium" w:cs="Gentium"/>
          <w:i/>
          <w:iCs/>
          <w:sz w:val="24"/>
          <w:szCs w:val="24"/>
        </w:rPr>
        <w:t xml:space="preserve">Ann. </w:t>
      </w:r>
      <w:r>
        <w:rPr>
          <w:rFonts w:ascii="Gentium" w:hAnsi="Gentium" w:eastAsia="Gentium" w:cs="Gentium"/>
          <w:sz w:val="24"/>
          <w:szCs w:val="24"/>
        </w:rPr>
        <w:t xml:space="preserve">14.43); </w:t>
      </w:r>
      <w:r>
        <w:rPr>
          <w:rFonts w:ascii="Gentium" w:hAnsi="Gentium" w:eastAsia="Gentium" w:cs="Gentium"/>
          <w:sz w:val="24"/>
          <w:szCs w:val="24"/>
        </w:rPr>
        <w:t xml:space="preserve">Augustus emisese legi privitoare la proprietarii care aveau mai mult de </w:t>
      </w:r>
      <w:r>
        <w:rPr>
          <w:rFonts w:ascii="Gentium" w:hAnsi="Gentium" w:eastAsia="Gentium" w:cs="Gentium"/>
          <w:sz w:val="24"/>
          <w:szCs w:val="24"/>
        </w:rPr>
        <w:t xml:space="preserve">500 </w:t>
      </w:r>
      <w:r>
        <w:rPr>
          <w:rFonts w:ascii="Gentium" w:hAnsi="Gentium" w:eastAsia="Gentium" w:cs="Gentium"/>
          <w:sz w:val="24"/>
          <w:szCs w:val="24"/>
        </w:rPr>
        <w:t xml:space="preserve">sclavi</w:t>
      </w:r>
      <w:r>
        <w:rPr>
          <w:rFonts w:ascii="Gentium" w:hAnsi="Gentium" w:eastAsia="Gentium" w:cs="Gentium"/>
          <w:sz w:val="24"/>
          <w:szCs w:val="24"/>
        </w:rPr>
        <w:t xml:space="preserve"> (Gaius,</w:t>
      </w:r>
      <w:r>
        <w:rPr>
          <w:rFonts w:ascii="Gentium" w:hAnsi="Gentium" w:eastAsia="Gentium" w:cs="Gentium"/>
          <w:sz w:val="24"/>
          <w:szCs w:val="24"/>
        </w:rPr>
        <w:t xml:space="preserve"> </w:t>
      </w:r>
      <w:r>
        <w:rPr>
          <w:rFonts w:ascii="Gentium" w:hAnsi="Gentium" w:eastAsia="Gentium" w:cs="Gentium"/>
          <w:i/>
          <w:iCs/>
          <w:sz w:val="24"/>
          <w:szCs w:val="24"/>
        </w:rPr>
        <w:t xml:space="preserve">Inst. </w:t>
      </w:r>
      <w:r>
        <w:rPr>
          <w:rFonts w:ascii="Gentium" w:hAnsi="Gentium" w:eastAsia="Gentium" w:cs="Gentium"/>
          <w:sz w:val="24"/>
          <w:szCs w:val="24"/>
        </w:rPr>
        <w:t xml:space="preserve">1.43); despre un anume Tarius Rufus se spunea că are aproximativ 4,116 sclavi.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În Atena </w:t>
      </w:r>
      <w:r>
        <w:rPr>
          <w:rFonts w:ascii="Gentium" w:hAnsi="Gentium" w:eastAsia="Gentium" w:cs="Gentium"/>
          <w:sz w:val="24"/>
          <w:szCs w:val="24"/>
        </w:rPr>
        <w:t xml:space="preserve">şi Sparta, </w:t>
      </w:r>
      <w:r>
        <w:rPr>
          <w:rFonts w:ascii="Gentium" w:hAnsi="Gentium" w:eastAsia="Gentium" w:cs="Gentium"/>
          <w:sz w:val="24"/>
          <w:szCs w:val="24"/>
        </w:rPr>
        <w:t xml:space="preserve">sclavii erau trataţi </w:t>
      </w:r>
      <w:r>
        <w:rPr>
          <w:rFonts w:ascii="Gentium" w:hAnsi="Gentium" w:eastAsia="Gentium" w:cs="Gentium"/>
          <w:sz w:val="24"/>
          <w:szCs w:val="24"/>
        </w:rPr>
        <w:t xml:space="preserve">destul de rău</w:t>
      </w:r>
      <w:r>
        <w:rPr>
          <w:rFonts w:ascii="Gentium" w:hAnsi="Gentium" w:eastAsia="Gentium" w:cs="Gentium"/>
          <w:sz w:val="24"/>
          <w:szCs w:val="24"/>
        </w:rPr>
        <w:t xml:space="preserve">. </w:t>
      </w:r>
      <w:r>
        <w:rPr>
          <w:rFonts w:ascii="Gentium" w:hAnsi="Gentium" w:eastAsia="Gentium" w:cs="Gentium"/>
          <w:sz w:val="24"/>
          <w:szCs w:val="24"/>
        </w:rPr>
        <w:t xml:space="preserve">De exemplu, în</w:t>
      </w:r>
      <w:r>
        <w:rPr>
          <w:rFonts w:ascii="Gentium" w:hAnsi="Gentium" w:eastAsia="Gentium" w:cs="Gentium"/>
          <w:sz w:val="24"/>
          <w:szCs w:val="24"/>
        </w:rPr>
        <w:t xml:space="preserve"> mine munca era foarte grea</w:t>
      </w:r>
      <w:r>
        <w:rPr>
          <w:rFonts w:ascii="Gentium" w:hAnsi="Gentium" w:eastAsia="Gentium" w:cs="Gentium"/>
          <w:sz w:val="24"/>
          <w:szCs w:val="24"/>
        </w:rPr>
        <w:t xml:space="preserve"> şi se lucra în lanţuri</w:t>
      </w:r>
      <w:r>
        <w:rPr>
          <w:rFonts w:ascii="Gentium" w:hAnsi="Gentium" w:eastAsia="Gentium" w:cs="Gentium"/>
          <w:sz w:val="24"/>
          <w:szCs w:val="24"/>
        </w:rPr>
        <w:t xml:space="preserve">.</w:t>
      </w:r>
      <w:r>
        <w:rPr>
          <w:rFonts w:ascii="Gentium" w:hAnsi="Gentium" w:eastAsia="Gentium" w:cs="Gentium"/>
          <w:sz w:val="24"/>
          <w:szCs w:val="24"/>
        </w:rPr>
        <w:t xml:space="preserve"> Sclavii erau dispreţuiţi ca subumani şi meritându-şi soarta. Se considera că unii sunt destinaţi să fie sclavi, alţii să fie stăpâni. Sursele de sclavi includeau prizonieri de ră</w:t>
      </w:r>
      <w:r>
        <w:rPr>
          <w:rFonts w:ascii="Gentium" w:hAnsi="Gentium" w:eastAsia="Gentium" w:cs="Gentium"/>
          <w:sz w:val="24"/>
          <w:szCs w:val="24"/>
        </w:rPr>
        <w:t xml:space="preserve">zboi, condamnaţi, datornici care nu puteau plăti, sau chiar oameni care se vindeau pe sine contra unui preţ, pentru a deveni sclavi. Aristotel în Politica este unul din apărătorii sclaviei şi consideră că distanţa dintre sclavi şi stăpâni trebuia păstrată.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Situaţia legală a sclavilor era paradoxală. Pe deoparte, erau consideraţi animale de povară</w:t>
      </w:r>
      <w:r>
        <w:rPr>
          <w:rFonts w:ascii="Gentium" w:hAnsi="Gentium" w:eastAsia="Gentium" w:cs="Gentium"/>
          <w:sz w:val="24"/>
          <w:szCs w:val="24"/>
        </w:rPr>
        <w:t xml:space="preserve">, lucruri sau unelte (res)</w:t>
      </w:r>
      <w:r>
        <w:rPr>
          <w:rFonts w:ascii="Gentium" w:hAnsi="Gentium" w:eastAsia="Gentium" w:cs="Gentium"/>
          <w:sz w:val="24"/>
          <w:szCs w:val="24"/>
        </w:rPr>
        <w:t xml:space="preserve"> şi nu aveau drepturi. Pe de alta, se puteau răscumpăra</w:t>
      </w:r>
      <w:r>
        <w:rPr>
          <w:rFonts w:ascii="Gentium" w:hAnsi="Gentium" w:eastAsia="Gentium" w:cs="Gentium"/>
          <w:sz w:val="24"/>
          <w:szCs w:val="24"/>
        </w:rPr>
        <w:t xml:space="preserve">. De asemeni</w:t>
      </w:r>
      <w:r>
        <w:rPr>
          <w:rFonts w:ascii="Gentium" w:hAnsi="Gentium" w:eastAsia="Gentium" w:cs="Gentium"/>
          <w:sz w:val="24"/>
          <w:szCs w:val="24"/>
        </w:rPr>
        <w:t xml:space="preserve">, puteau fi parteneri de discuţie sau sfat, până la un punct. De obicei, erau total la dispoziţia stăpânului</w:t>
      </w:r>
      <w:r>
        <w:rPr>
          <w:rFonts w:ascii="Gentium" w:hAnsi="Gentium" w:eastAsia="Gentium" w:cs="Gentium"/>
          <w:sz w:val="24"/>
          <w:szCs w:val="24"/>
        </w:rPr>
        <w:t xml:space="preserve"> </w:t>
      </w:r>
      <w:r>
        <w:rPr>
          <w:rFonts w:ascii="Gentium" w:hAnsi="Gentium" w:eastAsia="Gentium" w:cs="Gentium"/>
          <w:sz w:val="24"/>
          <w:szCs w:val="24"/>
        </w:rPr>
        <w:t xml:space="preserve">şi puteau fi pedepsiţi în orice fel, sau ucişi, sau abuzaţi sexual. Pe de altă parte, </w:t>
      </w:r>
      <w:r>
        <w:rPr>
          <w:rFonts w:ascii="Gentium" w:hAnsi="Gentium" w:eastAsia="Gentium" w:cs="Gentium"/>
          <w:sz w:val="24"/>
          <w:szCs w:val="24"/>
        </w:rPr>
        <w:t xml:space="preserve">sclavii puteau cere să fie protejaţi de stăpânii care doreau să îi abuzeze (sexual) şi puteau</w:t>
      </w:r>
      <w:r>
        <w:rPr>
          <w:rFonts w:ascii="Gentium" w:hAnsi="Gentium" w:eastAsia="Gentium" w:cs="Gentium"/>
          <w:sz w:val="24"/>
          <w:szCs w:val="24"/>
        </w:rPr>
        <w:t xml:space="preserve"> apela la protecţie într-un templu, ca să fie vânduţi altui stăpân, dacă se simţeau ameninţaţi.</w:t>
      </w:r>
      <w:r>
        <w:rPr>
          <w:rFonts w:ascii="Gentium" w:hAnsi="Gentium" w:eastAsia="Gentium" w:cs="Gentium"/>
          <w:sz w:val="24"/>
          <w:szCs w:val="24"/>
        </w:rPr>
        <w:t xml:space="preserve"> </w:t>
      </w:r>
      <w:r>
        <w:rPr>
          <w:rFonts w:ascii="Gentium" w:hAnsi="Gentium" w:eastAsia="Gentium" w:cs="Gentium"/>
          <w:sz w:val="24"/>
          <w:szCs w:val="24"/>
        </w:rPr>
        <w:t xml:space="preserve">Abuzul putea include vânzarea repetată şi fără motiv (sindromul „sclav demodat”), abuzul sexual, pedepsirea corporală exagerată (biciuire; ardere cu fierul roşu; gulere şi brăţări de fier, tip cătuşe; mutilare</w:t>
      </w:r>
      <w:r>
        <w:rPr>
          <w:rFonts w:ascii="Gentium" w:hAnsi="Gentium" w:eastAsia="Gentium" w:cs="Gentium"/>
          <w:sz w:val="24"/>
          <w:szCs w:val="24"/>
        </w:rPr>
        <w:t xml:space="preserve">; </w:t>
      </w:r>
      <w:r>
        <w:rPr>
          <w:rFonts w:ascii="Gentium" w:hAnsi="Gentium" w:eastAsia="Gentium" w:cs="Gentium"/>
          <w:sz w:val="24"/>
          <w:szCs w:val="24"/>
        </w:rPr>
        <w:t xml:space="preserve">legi specifice, cum erau </w:t>
      </w:r>
      <w:r>
        <w:rPr>
          <w:rFonts w:ascii="Gentium" w:hAnsi="Gentium" w:eastAsia="Gentium" w:cs="Gentium"/>
          <w:sz w:val="24"/>
          <w:szCs w:val="24"/>
        </w:rPr>
        <w:t xml:space="preserve">Lex Fabia şi Lex Aquilia</w:t>
      </w:r>
      <w:r>
        <w:rPr>
          <w:rFonts w:ascii="Gentium" w:hAnsi="Gentium" w:eastAsia="Gentium" w:cs="Gentium"/>
          <w:sz w:val="24"/>
          <w:szCs w:val="24"/>
        </w:rPr>
        <w:t xml:space="preserve">,</w:t>
      </w:r>
      <w:r>
        <w:rPr>
          <w:rFonts w:ascii="Gentium" w:hAnsi="Gentium" w:eastAsia="Gentium" w:cs="Gentium"/>
          <w:sz w:val="24"/>
          <w:szCs w:val="24"/>
        </w:rPr>
        <w:t xml:space="preserve"> arătau în ce condiţii „deteriorarea” unui sclav sau uciderea lui erau pedepsite de către stat, sau în ce condiţii proprietarul putea fi despăgubit</w:t>
      </w:r>
      <w:r>
        <w:rPr>
          <w:rFonts w:ascii="Gentium" w:hAnsi="Gentium" w:eastAsia="Gentium" w:cs="Gentium"/>
          <w:sz w:val="24"/>
          <w:szCs w:val="24"/>
        </w:rPr>
        <w:t xml:space="preserve">). </w:t>
      </w:r>
      <w:r>
        <w:rPr>
          <w:rFonts w:ascii="Gentium" w:hAnsi="Gentium" w:eastAsia="Gentium" w:cs="Gentium"/>
          <w:sz w:val="24"/>
          <w:szCs w:val="24"/>
        </w:rPr>
        <w:t xml:space="preserve">Pedepsirea sclavilor putea atinge forme extreme: arderea de viu (</w:t>
      </w:r>
      <w:r>
        <w:rPr>
          <w:rFonts w:ascii="Gentium" w:hAnsi="Gentium" w:eastAsia="Gentium" w:cs="Gentium"/>
          <w:i/>
          <w:iCs/>
          <w:sz w:val="24"/>
          <w:szCs w:val="24"/>
        </w:rPr>
        <w:t xml:space="preserve">crematio</w:t>
      </w:r>
      <w:r>
        <w:rPr>
          <w:rFonts w:ascii="Gentium" w:hAnsi="Gentium" w:eastAsia="Gentium" w:cs="Gentium"/>
          <w:sz w:val="24"/>
          <w:szCs w:val="24"/>
        </w:rPr>
        <w:t xml:space="preserve">)</w:t>
      </w:r>
      <w:r>
        <w:rPr>
          <w:rFonts w:ascii="Gentium" w:hAnsi="Gentium" w:eastAsia="Gentium" w:cs="Gentium"/>
          <w:sz w:val="24"/>
          <w:szCs w:val="24"/>
        </w:rPr>
        <w:t xml:space="preserve">, crucificarea </w:t>
      </w:r>
      <w:r>
        <w:rPr>
          <w:rFonts w:ascii="Gentium" w:hAnsi="Gentium" w:eastAsia="Gentium" w:cs="Gentium"/>
          <w:sz w:val="24"/>
          <w:szCs w:val="24"/>
        </w:rPr>
        <w:t xml:space="preserve">(</w:t>
      </w:r>
      <w:r>
        <w:rPr>
          <w:rFonts w:ascii="Gentium" w:hAnsi="Gentium" w:eastAsia="Gentium" w:cs="Gentium"/>
          <w:i/>
          <w:iCs/>
          <w:sz w:val="24"/>
          <w:szCs w:val="24"/>
        </w:rPr>
        <w:t xml:space="preserve">crux</w:t>
      </w:r>
      <w:r>
        <w:rPr>
          <w:rFonts w:ascii="Gentium" w:hAnsi="Gentium" w:eastAsia="Gentium" w:cs="Gentium"/>
          <w:sz w:val="24"/>
          <w:szCs w:val="24"/>
        </w:rPr>
        <w:t xml:space="preserve">)</w:t>
      </w:r>
      <w:r>
        <w:rPr>
          <w:rFonts w:ascii="Gentium" w:hAnsi="Gentium" w:eastAsia="Gentium" w:cs="Gentium"/>
          <w:sz w:val="24"/>
          <w:szCs w:val="24"/>
        </w:rPr>
        <w:t xml:space="preserve">, aruncarea la animale sălbatice </w:t>
      </w:r>
      <w:r>
        <w:rPr>
          <w:rFonts w:ascii="Gentium" w:hAnsi="Gentium" w:eastAsia="Gentium" w:cs="Gentium"/>
          <w:sz w:val="24"/>
          <w:szCs w:val="24"/>
        </w:rPr>
        <w:t xml:space="preserve">(</w:t>
      </w:r>
      <w:r>
        <w:rPr>
          <w:rFonts w:ascii="Gentium" w:hAnsi="Gentium" w:eastAsia="Gentium" w:cs="Gentium"/>
          <w:i/>
          <w:iCs/>
          <w:sz w:val="24"/>
          <w:szCs w:val="24"/>
        </w:rPr>
        <w:t xml:space="preserve">ad bestias</w:t>
      </w:r>
      <w:r>
        <w:rPr>
          <w:rFonts w:ascii="Gentium" w:hAnsi="Gentium" w:eastAsia="Gentium" w:cs="Gentium"/>
          <w:sz w:val="24"/>
          <w:szCs w:val="24"/>
        </w:rPr>
        <w:t xml:space="preserve">)</w:t>
      </w:r>
      <w:r>
        <w:rPr>
          <w:rFonts w:ascii="Gentium" w:hAnsi="Gentium" w:eastAsia="Gentium" w:cs="Gentium"/>
          <w:sz w:val="24"/>
          <w:szCs w:val="24"/>
        </w:rPr>
        <w:t xml:space="preserve">.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Sclavii romani s-au răsculat de mai multe ori: de două în Sicilia (130 şi 100 îH), şi în toată Italia, în timpul lui Spartacus (73-71 îH). 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Sclavii p</w:t>
      </w:r>
      <w:r>
        <w:rPr>
          <w:rFonts w:ascii="Gentium" w:hAnsi="Gentium" w:eastAsia="Gentium" w:cs="Gentium"/>
          <w:sz w:val="24"/>
          <w:szCs w:val="24"/>
        </w:rPr>
        <w:t xml:space="preserve">uteau da mărturie la tribunal. În acelaşi timp, în Atena, o mărturie a unui sclav nu era valabilă decât dacă era smulsă sub tortură (</w:t>
      </w:r>
      <w:r>
        <w:rPr>
          <w:rFonts w:ascii="Gentium" w:hAnsi="Gentium" w:eastAsia="Gentium" w:cs="Gentium"/>
          <w:i/>
          <w:sz w:val="24"/>
          <w:szCs w:val="24"/>
        </w:rPr>
        <w:t xml:space="preserve">basanos</w:t>
      </w:r>
      <w:r>
        <w:rPr>
          <w:rFonts w:ascii="Gentium" w:hAnsi="Gentium" w:eastAsia="Gentium" w:cs="Gentium"/>
          <w:sz w:val="24"/>
          <w:szCs w:val="24"/>
        </w:rPr>
        <w:t xml:space="preserve">).</w:t>
      </w:r>
      <w:r>
        <w:rPr>
          <w:rFonts w:ascii="Gentium" w:hAnsi="Gentium" w:eastAsia="Gentium" w:cs="Gentium"/>
          <w:sz w:val="24"/>
          <w:szCs w:val="24"/>
        </w:rPr>
        <w:t xml:space="preserve"> Deşi erau dispreţuiţi şi folosiţi la munci grele în Atena, sclavilor li se recunoştea dreptul de a întemeia o familie. Acest drept le era refuzat însă în Roma, unde lipsa de drepturi era extinsă în toate domeniile posibile. </w:t>
      </w:r>
      <w:r>
        <w:rPr>
          <w:rFonts w:ascii="Gentium" w:hAnsi="Gentium" w:eastAsia="Gentium" w:cs="Gentium"/>
          <w:sz w:val="24"/>
          <w:szCs w:val="24"/>
        </w:rPr>
        <w:t xml:space="preserve">Peste tot, s</w:t>
      </w:r>
      <w:r>
        <w:rPr>
          <w:rFonts w:ascii="Gentium" w:hAnsi="Gentium" w:eastAsia="Gentium" w:cs="Gentium"/>
          <w:sz w:val="24"/>
          <w:szCs w:val="24"/>
        </w:rPr>
        <w:t xml:space="preserve">clavul era tratat ca un obiect</w:t>
      </w:r>
      <w:r>
        <w:rPr>
          <w:rFonts w:ascii="Gentium" w:hAnsi="Gentium" w:eastAsia="Gentium" w:cs="Gentium"/>
          <w:sz w:val="24"/>
          <w:szCs w:val="24"/>
        </w:rPr>
        <w:t xml:space="preserve"> (</w:t>
      </w:r>
      <w:r>
        <w:rPr>
          <w:rFonts w:ascii="Gentium" w:hAnsi="Gentium" w:eastAsia="Gentium" w:cs="Gentium"/>
          <w:i/>
          <w:sz w:val="24"/>
          <w:szCs w:val="24"/>
        </w:rPr>
        <w:t xml:space="preserve">res</w:t>
      </w:r>
      <w:r>
        <w:rPr>
          <w:rFonts w:ascii="Gentium" w:hAnsi="Gentium" w:eastAsia="Gentium" w:cs="Gentium"/>
          <w:sz w:val="24"/>
          <w:szCs w:val="24"/>
        </w:rPr>
        <w:t xml:space="preserve">)</w:t>
      </w:r>
      <w:r>
        <w:rPr>
          <w:rFonts w:ascii="Gentium" w:hAnsi="Gentium" w:eastAsia="Gentium" w:cs="Gentium"/>
          <w:sz w:val="24"/>
          <w:szCs w:val="24"/>
        </w:rPr>
        <w:t xml:space="preserve">, ca o unealtă </w:t>
      </w:r>
      <w:r>
        <w:rPr>
          <w:rFonts w:ascii="Gentium" w:hAnsi="Gentium" w:eastAsia="Gentium" w:cs="Gentium"/>
          <w:sz w:val="24"/>
          <w:szCs w:val="24"/>
        </w:rPr>
        <w:t xml:space="preserve">de lucru în diverse domenii</w:t>
      </w:r>
      <w:r>
        <w:rPr>
          <w:rFonts w:ascii="Gentium" w:hAnsi="Gentium" w:eastAsia="Gentium" w:cs="Gentium"/>
          <w:sz w:val="24"/>
          <w:szCs w:val="24"/>
        </w:rPr>
        <w:t xml:space="preserve"> (</w:t>
      </w:r>
      <w:r>
        <w:rPr>
          <w:rFonts w:ascii="Gentium" w:hAnsi="Gentium" w:eastAsia="Gentium" w:cs="Gentium"/>
          <w:sz w:val="24"/>
          <w:szCs w:val="24"/>
        </w:rPr>
        <w:t xml:space="preserve">Aristo</w:t>
      </w:r>
      <w:r>
        <w:rPr>
          <w:rFonts w:ascii="Gentium" w:hAnsi="Gentium" w:eastAsia="Gentium" w:cs="Gentium"/>
          <w:sz w:val="24"/>
          <w:szCs w:val="24"/>
        </w:rPr>
        <w:t xml:space="preserve">tel</w:t>
      </w:r>
      <w:r>
        <w:rPr>
          <w:rFonts w:ascii="Gentium" w:hAnsi="Gentium" w:eastAsia="Gentium" w:cs="Gentium"/>
          <w:sz w:val="24"/>
          <w:szCs w:val="24"/>
        </w:rPr>
        <w:t xml:space="preserve"> </w:t>
      </w:r>
      <w:r>
        <w:rPr>
          <w:rFonts w:ascii="Gentium" w:hAnsi="Gentium" w:eastAsia="Gentium" w:cs="Gentium"/>
          <w:i/>
          <w:iCs/>
          <w:sz w:val="24"/>
          <w:szCs w:val="24"/>
        </w:rPr>
        <w:t xml:space="preserve">Eth. Eud. </w:t>
      </w:r>
      <w:r>
        <w:rPr>
          <w:rFonts w:ascii="Gentium" w:hAnsi="Gentium" w:eastAsia="Gentium" w:cs="Gentium"/>
          <w:sz w:val="24"/>
          <w:szCs w:val="24"/>
        </w:rPr>
        <w:t xml:space="preserve">7.9.2, 1241b; cf. </w:t>
      </w:r>
      <w:r>
        <w:rPr>
          <w:rFonts w:ascii="Gentium" w:hAnsi="Gentium" w:eastAsia="Gentium" w:cs="Gentium"/>
          <w:i/>
          <w:iCs/>
          <w:sz w:val="24"/>
          <w:szCs w:val="24"/>
        </w:rPr>
        <w:t xml:space="preserve">Pol. </w:t>
      </w:r>
      <w:r>
        <w:rPr>
          <w:rFonts w:ascii="Gentium" w:hAnsi="Gentium" w:eastAsia="Gentium" w:cs="Gentium"/>
          <w:sz w:val="24"/>
          <w:szCs w:val="24"/>
        </w:rPr>
        <w:t xml:space="preserve">1.1.4, 1252a; 1.2.3–6, 10, 1253b–54a; </w:t>
      </w:r>
      <w:r>
        <w:rPr>
          <w:rFonts w:ascii="Gentium" w:hAnsi="Gentium" w:eastAsia="Gentium" w:cs="Gentium"/>
          <w:sz w:val="24"/>
          <w:szCs w:val="24"/>
        </w:rPr>
        <w:t xml:space="preserve">lucrau în mine, construcţii, drumuri, îmbrăcăminte, alimentaţie, ferme, agricultură)</w:t>
      </w:r>
      <w:r>
        <w:rPr>
          <w:rFonts w:ascii="Gentium" w:hAnsi="Gentium" w:eastAsia="Gentium" w:cs="Gentium"/>
          <w:sz w:val="24"/>
          <w:szCs w:val="24"/>
        </w:rPr>
        <w:t xml:space="preserve">. </w:t>
      </w:r>
      <w:r>
        <w:rPr>
          <w:rFonts w:ascii="Gentium" w:hAnsi="Gentium" w:eastAsia="Gentium" w:cs="Gentium"/>
          <w:sz w:val="24"/>
          <w:szCs w:val="24"/>
        </w:rPr>
        <w:t xml:space="preserve">Domeniile de lucru erau variate: ei puteau funcţiona şi ca învăţători şi educatori (tu</w:t>
      </w:r>
      <w:r>
        <w:rPr>
          <w:rFonts w:ascii="Gentium" w:hAnsi="Gentium" w:eastAsia="Gentium" w:cs="Gentium"/>
          <w:sz w:val="24"/>
          <w:szCs w:val="24"/>
        </w:rPr>
        <w:t xml:space="preserve">tori), administratori, etc. Primeau în schimb plată în bani (chiar dacă nu aveau dreptul la proprietăţi) – şi cu ei se puteau răscumpăra, primeau adăpost, hrană, îmbrăcăminte, pentru ei şi familia lor. Copii sclavilor erau socotiţi tot sclavi. Comparativ, </w:t>
      </w:r>
      <w:r>
        <w:rPr>
          <w:rFonts w:ascii="Gentium" w:hAnsi="Gentium" w:eastAsia="Gentium" w:cs="Gentium"/>
          <w:sz w:val="24"/>
          <w:szCs w:val="24"/>
        </w:rPr>
        <w:t xml:space="preserve">în Roma era mai uşor </w:t>
      </w:r>
      <w:r>
        <w:rPr>
          <w:rFonts w:ascii="Gentium" w:hAnsi="Gentium" w:eastAsia="Gentium" w:cs="Gentium"/>
          <w:sz w:val="24"/>
          <w:szCs w:val="24"/>
        </w:rPr>
        <w:t xml:space="preserve">pentru</w:t>
      </w:r>
      <w:r>
        <w:rPr>
          <w:rFonts w:ascii="Gentium" w:hAnsi="Gentium" w:eastAsia="Gentium" w:cs="Gentium"/>
          <w:sz w:val="24"/>
          <w:szCs w:val="24"/>
        </w:rPr>
        <w:t xml:space="preserve"> un sclav </w:t>
      </w:r>
      <w:r>
        <w:rPr>
          <w:rFonts w:ascii="Gentium" w:hAnsi="Gentium" w:eastAsia="Gentium" w:cs="Gentium"/>
          <w:sz w:val="24"/>
          <w:szCs w:val="24"/>
        </w:rPr>
        <w:t xml:space="preserve">îşi câştige libertatea prin răscumpărare</w:t>
      </w:r>
      <w:r>
        <w:rPr>
          <w:rFonts w:ascii="Gentium" w:hAnsi="Gentium" w:eastAsia="Gentium" w:cs="Gentium"/>
          <w:sz w:val="24"/>
          <w:szCs w:val="24"/>
        </w:rPr>
        <w:t xml:space="preserve">, decât în Atena, iar slujbele erau mai variate, de la munca brută la munci importante care ţineau de educaţie şi administraţie.</w:t>
      </w:r>
      <w:r>
        <w:rPr>
          <w:rFonts w:ascii="Gentium" w:hAnsi="Gentium" w:eastAsia="Gentium" w:cs="Gentium"/>
          <w:sz w:val="24"/>
          <w:szCs w:val="24"/>
        </w:rPr>
        <w:t xml:space="preserve"> 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În g</w:t>
      </w:r>
      <w:r>
        <w:rPr>
          <w:rFonts w:ascii="Gentium" w:hAnsi="Gentium" w:eastAsia="Gentium" w:cs="Gentium"/>
          <w:sz w:val="24"/>
          <w:szCs w:val="24"/>
        </w:rPr>
        <w:t xml:space="preserve">eneral, în Roma sclavia era mai mult o stare socială, din care se putea ieşi prin răscumpărare, pe când în Atena se făceau şi judecăţi de valoare, potrivit cărora sclavia era un destin care arăta că, într-un fel ai o valoare sub valoarea celorlalţi oameni.</w:t>
      </w:r>
      <w:r>
        <w:rPr>
          <w:rFonts w:ascii="Gentium" w:hAnsi="Gentium" w:eastAsia="Gentium" w:cs="Gentium"/>
          <w:sz w:val="24"/>
          <w:szCs w:val="24"/>
        </w:rPr>
        <w:t xml:space="preserve"> Sclavi deveniţi liberi nu primeau drept de cetăţenie în Atena şi erau excluşi din viaţa politică </w:t>
      </w:r>
      <w:r>
        <w:rPr>
          <w:rFonts w:ascii="Gentium" w:hAnsi="Gentium" w:eastAsia="Gentium" w:cs="Gentium"/>
          <w:sz w:val="24"/>
          <w:szCs w:val="24"/>
        </w:rPr>
        <w:t xml:space="preserve">şi economică </w:t>
      </w:r>
      <w:r>
        <w:rPr>
          <w:rFonts w:ascii="Gentium" w:hAnsi="Gentium" w:eastAsia="Gentium" w:cs="Gentium"/>
          <w:sz w:val="24"/>
          <w:szCs w:val="24"/>
        </w:rPr>
        <w:t xml:space="preserve">a cetăţii, pe când în Roma, prin răscumpărare avea loc o restaurare deplină a </w:t>
      </w:r>
      <w:r>
        <w:rPr>
          <w:rFonts w:ascii="Gentium" w:hAnsi="Gentium" w:eastAsia="Gentium" w:cs="Gentium"/>
          <w:sz w:val="24"/>
          <w:szCs w:val="24"/>
        </w:rPr>
        <w:t xml:space="preserve">tuturor </w:t>
      </w:r>
      <w:r>
        <w:rPr>
          <w:rFonts w:ascii="Gentium" w:hAnsi="Gentium" w:eastAsia="Gentium" w:cs="Gentium"/>
          <w:sz w:val="24"/>
          <w:szCs w:val="24"/>
        </w:rPr>
        <w:t xml:space="preserve">drepturilor cetăţeneşti.</w:t>
      </w:r>
      <w:r>
        <w:rPr>
          <w:rFonts w:ascii="Gentium" w:hAnsi="Gentium" w:eastAsia="Gentium" w:cs="Gentium"/>
          <w:sz w:val="24"/>
          <w:szCs w:val="24"/>
        </w:rPr>
        <w:t xml:space="preserve"> </w:t>
      </w:r>
      <w:r>
        <w:rPr>
          <w:rFonts w:ascii="Gentium" w:hAnsi="Gentium" w:eastAsia="Gentium" w:cs="Gentium"/>
          <w:sz w:val="24"/>
          <w:szCs w:val="24"/>
        </w:rPr>
        <w:t xml:space="preserve">În plus, după şase ani de sclavie – sau la vârsta de 30 de ani, un sclav urban putea fi eliberat (nu obligatoriu; şi nu în agricultură sau în munci fizice grele, susţinute).</w:t>
      </w:r>
      <w:r>
        <w:rPr>
          <w:rFonts w:ascii="Gentium" w:hAnsi="Gentium" w:eastAsia="Gentium" w:cs="Gentium"/>
          <w:sz w:val="24"/>
          <w:szCs w:val="24"/>
        </w:rPr>
        <w:t xml:space="preserve"> Un cetăţean roman putea elibera câţi sclavi dorea în timpul vieţii sale, dar prin testament nu putea eli</w:t>
      </w:r>
      <w:r>
        <w:rPr>
          <w:rFonts w:ascii="Gentium" w:hAnsi="Gentium" w:eastAsia="Gentium" w:cs="Gentium"/>
          <w:sz w:val="24"/>
          <w:szCs w:val="24"/>
        </w:rPr>
        <w:t xml:space="preserve">bera decât un număr limitat de</w:t>
      </w:r>
      <w:r>
        <w:rPr>
          <w:rFonts w:ascii="Gentium" w:hAnsi="Gentium" w:eastAsia="Gentium" w:cs="Gentium"/>
          <w:sz w:val="24"/>
          <w:szCs w:val="24"/>
        </w:rPr>
        <w:t xml:space="preserve"> lege</w:t>
      </w:r>
      <w:r>
        <w:rPr>
          <w:rFonts w:ascii="Gentium" w:hAnsi="Gentium" w:eastAsia="Gentium" w:cs="Gentium"/>
          <w:sz w:val="24"/>
          <w:szCs w:val="24"/>
        </w:rPr>
        <w:t xml:space="preserve"> (astfel, se protejau moştenirea şi moştenitorii)</w:t>
      </w:r>
      <w:r>
        <w:rPr>
          <w:rFonts w:ascii="Gentium" w:hAnsi="Gentium" w:eastAsia="Gentium" w:cs="Gentium"/>
          <w:sz w:val="24"/>
          <w:szCs w:val="24"/>
        </w:rPr>
        <w:t xml:space="preserve">.</w:t>
      </w:r>
      <w:r>
        <w:rPr>
          <w:rFonts w:ascii="Gentium" w:hAnsi="Gentium" w:eastAsia="Gentium" w:cs="Gentium"/>
          <w:sz w:val="24"/>
          <w:szCs w:val="24"/>
        </w:rPr>
        <w:t xml:space="preserve"> 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Din cauza acestor deose</w:t>
      </w:r>
      <w:r>
        <w:rPr>
          <w:rFonts w:ascii="Gentium" w:hAnsi="Gentium" w:eastAsia="Gentium" w:cs="Gentium"/>
          <w:sz w:val="24"/>
          <w:szCs w:val="24"/>
        </w:rPr>
        <w:t xml:space="preserve">b</w:t>
      </w:r>
      <w:r>
        <w:rPr>
          <w:rFonts w:ascii="Gentium" w:hAnsi="Gentium" w:eastAsia="Gentium" w:cs="Gentium"/>
          <w:sz w:val="24"/>
          <w:szCs w:val="24"/>
        </w:rPr>
        <w:t xml:space="preserve">iri, </w:t>
      </w:r>
      <w:r>
        <w:rPr>
          <w:rFonts w:ascii="Gentium" w:hAnsi="Gentium" w:eastAsia="Gentium" w:cs="Gentium"/>
          <w:sz w:val="24"/>
          <w:szCs w:val="24"/>
        </w:rPr>
        <w:t xml:space="preserve">termenul de „sclavie greco-romană” este un termen problematic, deoarece situaţia legală a sclavilor în cele două sisteme avea caracteristici diferite.</w:t>
      </w:r>
      <w:r>
        <w:rPr>
          <w:rStyle w:val="1732"/>
          <w:rFonts w:ascii="Gentium" w:hAnsi="Gentium" w:eastAsia="Gentium" w:cs="Gentium"/>
          <w:sz w:val="24"/>
          <w:szCs w:val="24"/>
        </w:rPr>
        <w:footnoteReference w:id="6"/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Starea sclavilor era uneori privită de stăpâni cu înţelegere şi generozitate – dar nu cu revoltă sau dorinţă </w:t>
      </w:r>
      <w:r>
        <w:rPr>
          <w:rFonts w:ascii="Gentium" w:hAnsi="Gentium" w:eastAsia="Gentium" w:cs="Gentium"/>
          <w:sz w:val="24"/>
          <w:szCs w:val="24"/>
        </w:rPr>
        <w:t xml:space="preserve">de emancipare socială. </w:t>
      </w:r>
      <w:r>
        <w:rPr>
          <w:rFonts w:ascii="Gentium" w:hAnsi="Gentium" w:eastAsia="Gentium" w:cs="Gentium"/>
          <w:sz w:val="24"/>
          <w:szCs w:val="24"/>
        </w:rPr>
        <w:t xml:space="preserve">De </w:t>
      </w:r>
      <w:r>
        <w:rPr>
          <w:rFonts w:ascii="Gentium" w:hAnsi="Gentium" w:eastAsia="Gentium" w:cs="Gentium"/>
          <w:sz w:val="24"/>
          <w:szCs w:val="24"/>
        </w:rPr>
        <w:t xml:space="preserve">exemplu, </w:t>
      </w:r>
      <w:r>
        <w:rPr>
          <w:rFonts w:ascii="Gentium" w:hAnsi="Gentium" w:eastAsia="Gentium" w:cs="Gentium"/>
          <w:sz w:val="24"/>
          <w:szCs w:val="24"/>
        </w:rPr>
        <w:t xml:space="preserve">Seneca (Epistole,</w:t>
      </w:r>
      <w:r>
        <w:rPr>
          <w:rFonts w:ascii="Gentium" w:hAnsi="Gentium" w:eastAsia="Gentium" w:cs="Gentium"/>
          <w:sz w:val="24"/>
          <w:szCs w:val="24"/>
        </w:rPr>
        <w:t xml:space="preserve"> 47) recomandă o purtare omenească faţă de ei, dar nu este împotriva pedepsirii sclavilor, nici împotriva sclaviei ca atare.</w:t>
      </w:r>
      <w:r>
        <w:rPr>
          <w:rFonts w:ascii="Gentium" w:hAnsi="Gentium" w:eastAsia="Gentium" w:cs="Gentium"/>
          <w:sz w:val="24"/>
          <w:szCs w:val="24"/>
        </w:rPr>
        <w:t xml:space="preserve"> Pliniu îi invita la masă şi îi slujea – dar nici el nu este împotriva sclaviei. Aristotel era de acord că trebuie încercat un dialog </w:t>
      </w:r>
      <w:r>
        <w:rPr>
          <w:rFonts w:ascii="Gentium" w:hAnsi="Gentium" w:eastAsia="Gentium" w:cs="Gentium"/>
          <w:sz w:val="24"/>
          <w:szCs w:val="24"/>
        </w:rPr>
        <w:t xml:space="preserve">cu ei </w:t>
      </w:r>
      <w:r>
        <w:rPr>
          <w:rFonts w:ascii="Gentium" w:hAnsi="Gentium" w:eastAsia="Gentium" w:cs="Gentium"/>
          <w:sz w:val="24"/>
          <w:szCs w:val="24"/>
        </w:rPr>
        <w:t xml:space="preserve">– dar nu foarte familiar, şi că ar putea fi consultaţi în anumit domenii</w:t>
      </w:r>
      <w:r>
        <w:rPr>
          <w:rFonts w:ascii="Gentium" w:hAnsi="Gentium" w:eastAsia="Gentium" w:cs="Gentium"/>
          <w:sz w:val="24"/>
          <w:szCs w:val="24"/>
        </w:rPr>
        <w:t xml:space="preserve">, însă fără depăşirea graniţelor</w:t>
      </w:r>
      <w:r>
        <w:rPr>
          <w:rFonts w:ascii="Gentium" w:hAnsi="Gentium" w:eastAsia="Gentium" w:cs="Gentium"/>
          <w:sz w:val="24"/>
          <w:szCs w:val="24"/>
        </w:rPr>
        <w:t xml:space="preserve">.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În general, predominau prejudecăţile faţă de sclavi (scl</w:t>
      </w:r>
      <w:r>
        <w:rPr>
          <w:rFonts w:ascii="Gentium" w:hAnsi="Gentium" w:eastAsia="Gentium" w:cs="Gentium"/>
          <w:sz w:val="24"/>
          <w:szCs w:val="24"/>
        </w:rPr>
        <w:t xml:space="preserve">avii au un caracter moral inferior oamenilor liberi, sunt răi, înşelători, trăiesc în promiscuitate, îşi merită soarta, etc.). Unii autori citează „poruncile” etice ale sclavilor: „iubiţi-vă unii pe alţii, iubiţi hoţia, iubiţi ticăloşia, urâţi-vă stăpânii,</w:t>
      </w:r>
      <w:r>
        <w:rPr>
          <w:rFonts w:ascii="Gentium" w:hAnsi="Gentium" w:eastAsia="Gentium" w:cs="Gentium"/>
          <w:sz w:val="24"/>
          <w:szCs w:val="24"/>
        </w:rPr>
        <w:t xml:space="preserve"> să </w:t>
      </w:r>
      <w:r>
        <w:rPr>
          <w:rFonts w:ascii="Gentium" w:hAnsi="Gentium" w:eastAsia="Gentium" w:cs="Gentium"/>
          <w:sz w:val="24"/>
          <w:szCs w:val="24"/>
        </w:rPr>
        <w:t xml:space="preserve">nu spuneţi </w:t>
      </w:r>
      <w:r>
        <w:rPr>
          <w:rFonts w:ascii="Gentium" w:hAnsi="Gentium" w:eastAsia="Gentium" w:cs="Gentium"/>
          <w:sz w:val="24"/>
          <w:szCs w:val="24"/>
        </w:rPr>
        <w:t xml:space="preserve">niciodată </w:t>
      </w:r>
      <w:r>
        <w:rPr>
          <w:rFonts w:ascii="Gentium" w:hAnsi="Gentium" w:eastAsia="Gentium" w:cs="Gentium"/>
          <w:sz w:val="24"/>
          <w:szCs w:val="24"/>
        </w:rPr>
        <w:t xml:space="preserve">adevărul.”</w:t>
      </w:r>
      <w:r>
        <w:rPr>
          <w:rStyle w:val="1732"/>
          <w:rFonts w:ascii="Gentium" w:hAnsi="Gentium" w:eastAsia="Gentium" w:cs="Gentium"/>
          <w:sz w:val="24"/>
          <w:szCs w:val="24"/>
        </w:rPr>
        <w:footnoteReference w:id="7"/>
      </w:r>
      <w:r>
        <w:rPr>
          <w:rFonts w:ascii="Gentium" w:hAnsi="Gentium" w:eastAsia="Gentium" w:cs="Gentium"/>
          <w:sz w:val="24"/>
          <w:szCs w:val="24"/>
        </w:rPr>
        <w:t xml:space="preserve"> </w:t>
      </w:r>
      <w:r>
        <w:rPr>
          <w:rFonts w:ascii="Gentium" w:hAnsi="Gentium" w:eastAsia="Gentium" w:cs="Gentium"/>
          <w:sz w:val="24"/>
          <w:szCs w:val="24"/>
        </w:rPr>
        <w:t xml:space="preserve">Unii credeau că </w:t>
      </w:r>
      <w:r>
        <w:rPr>
          <w:rFonts w:ascii="Gentium" w:hAnsi="Gentium" w:eastAsia="Gentium" w:cs="Gentium"/>
          <w:sz w:val="24"/>
          <w:szCs w:val="24"/>
        </w:rPr>
        <w:t xml:space="preserve">naturile</w:t>
      </w:r>
      <w:r>
        <w:rPr>
          <w:rFonts w:ascii="Gentium" w:hAnsi="Gentium" w:eastAsia="Gentium" w:cs="Gentium"/>
          <w:sz w:val="24"/>
          <w:szCs w:val="24"/>
        </w:rPr>
        <w:t xml:space="preserve"> de sclav sau de aristocrat (neam regal) se puteau chiar citi pe înfăţişarea </w:t>
      </w:r>
      <w:r>
        <w:rPr>
          <w:rFonts w:ascii="Gentium" w:hAnsi="Gentium" w:eastAsia="Gentium" w:cs="Gentium"/>
          <w:sz w:val="24"/>
          <w:szCs w:val="24"/>
        </w:rPr>
        <w:t xml:space="preserve">omului</w:t>
      </w:r>
      <w:r>
        <w:rPr>
          <w:rFonts w:ascii="Gentium" w:hAnsi="Gentium" w:eastAsia="Gentium" w:cs="Gentium"/>
          <w:sz w:val="24"/>
          <w:szCs w:val="24"/>
        </w:rPr>
        <w:t xml:space="preserve"> (</w:t>
      </w:r>
      <w:r>
        <w:rPr>
          <w:rFonts w:ascii="Gentium" w:hAnsi="Gentium" w:eastAsia="Gentium" w:cs="Gentium"/>
          <w:sz w:val="24"/>
          <w:szCs w:val="24"/>
        </w:rPr>
        <w:t xml:space="preserve">Homer </w:t>
      </w:r>
      <w:r>
        <w:rPr>
          <w:rFonts w:ascii="Gentium" w:hAnsi="Gentium" w:eastAsia="Gentium" w:cs="Gentium"/>
          <w:i/>
          <w:iCs/>
          <w:sz w:val="24"/>
          <w:szCs w:val="24"/>
        </w:rPr>
        <w:t xml:space="preserve">Odys. </w:t>
      </w:r>
      <w:r>
        <w:rPr>
          <w:rFonts w:ascii="Gentium" w:hAnsi="Gentium" w:eastAsia="Gentium" w:cs="Gentium"/>
          <w:sz w:val="24"/>
          <w:szCs w:val="24"/>
        </w:rPr>
        <w:t xml:space="preserve">4.63–64</w:t>
      </w:r>
      <w:r>
        <w:rPr>
          <w:rFonts w:ascii="Gentium" w:hAnsi="Gentium" w:eastAsia="Gentium" w:cs="Gentium"/>
          <w:sz w:val="24"/>
          <w:szCs w:val="24"/>
        </w:rPr>
        <w:t xml:space="preserve">; </w:t>
      </w:r>
      <w:r>
        <w:rPr>
          <w:rFonts w:ascii="Gentium" w:hAnsi="Gentium" w:eastAsia="Gentium" w:cs="Gentium"/>
          <w:sz w:val="24"/>
          <w:szCs w:val="24"/>
        </w:rPr>
        <w:t xml:space="preserve">24.252–53</w:t>
      </w:r>
      <w:r>
        <w:rPr>
          <w:rFonts w:ascii="Gentium" w:hAnsi="Gentium" w:eastAsia="Gentium" w:cs="Gentium"/>
          <w:sz w:val="24"/>
          <w:szCs w:val="24"/>
        </w:rPr>
        <w:t xml:space="preserve">).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Mobilitatea socială a sclavilor avea o dinamică mai accentuată în Roma sau Egipt decât în Atena. </w:t>
      </w:r>
      <w:r>
        <w:rPr>
          <w:rFonts w:ascii="Gentium" w:hAnsi="Gentium" w:eastAsia="Gentium" w:cs="Gentium"/>
          <w:sz w:val="24"/>
          <w:szCs w:val="24"/>
        </w:rPr>
        <w:t xml:space="preserve">Unii sclavi puteau ajunge oameni înstăriţi sau puteau chiar intra în rândurile aristocraţiei. 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Activităţile sclavilor erau adeseori aceleaşi cu cele ale oamenilor liberi săraci. În unele cazuri, </w:t>
      </w:r>
      <w:r>
        <w:rPr>
          <w:rFonts w:ascii="Gentium" w:hAnsi="Gentium" w:eastAsia="Gentium" w:cs="Gentium"/>
          <w:sz w:val="24"/>
          <w:szCs w:val="24"/>
        </w:rPr>
        <w:t xml:space="preserve">robii o duceau mai bine decât oamenii liberi săraci (</w:t>
      </w:r>
      <w:r>
        <w:rPr>
          <w:rFonts w:ascii="Gentium" w:hAnsi="Gentium" w:eastAsia="Gentium" w:cs="Gentium"/>
          <w:sz w:val="24"/>
          <w:szCs w:val="24"/>
        </w:rPr>
        <w:t xml:space="preserve">Finley 1973,</w:t>
      </w:r>
      <w:r>
        <w:rPr>
          <w:rFonts w:ascii="Gentium" w:hAnsi="Gentium" w:eastAsia="Gentium" w:cs="Gentium"/>
          <w:sz w:val="24"/>
          <w:szCs w:val="24"/>
        </w:rPr>
        <w:t xml:space="preserve"> </w:t>
      </w:r>
      <w:r>
        <w:rPr>
          <w:rFonts w:ascii="Gentium" w:hAnsi="Gentium" w:eastAsia="Gentium" w:cs="Gentium"/>
          <w:sz w:val="24"/>
          <w:szCs w:val="24"/>
        </w:rPr>
        <w:t xml:space="preserve">107–8).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4.1.2 Reglementări iudaice asupra vieţii sociale (familia, sclavia, educaţia)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Israelul avea o reglementare interesantă, progresistă </w:t>
      </w:r>
      <w:r>
        <w:rPr>
          <w:rFonts w:ascii="Gentium" w:hAnsi="Gentium" w:eastAsia="Gentium" w:cs="Gentium"/>
          <w:sz w:val="24"/>
          <w:szCs w:val="24"/>
        </w:rPr>
        <w:t xml:space="preserve">în legătură cu</w:t>
      </w:r>
      <w:r>
        <w:rPr>
          <w:rFonts w:ascii="Gentium" w:hAnsi="Gentium" w:eastAsia="Gentium" w:cs="Gentium"/>
          <w:sz w:val="24"/>
          <w:szCs w:val="24"/>
        </w:rPr>
        <w:t xml:space="preserve"> problematic</w:t>
      </w:r>
      <w:r>
        <w:rPr>
          <w:rFonts w:ascii="Gentium" w:hAnsi="Gentium" w:eastAsia="Gentium" w:cs="Gentium"/>
          <w:sz w:val="24"/>
          <w:szCs w:val="24"/>
        </w:rPr>
        <w:t xml:space="preserve">a</w:t>
      </w:r>
      <w:r>
        <w:rPr>
          <w:rFonts w:ascii="Gentium" w:hAnsi="Gentium" w:eastAsia="Gentium" w:cs="Gentium"/>
          <w:sz w:val="24"/>
          <w:szCs w:val="24"/>
        </w:rPr>
        <w:t xml:space="preserve"> social</w:t>
      </w:r>
      <w:r>
        <w:rPr>
          <w:rFonts w:ascii="Gentium" w:hAnsi="Gentium" w:eastAsia="Gentium" w:cs="Gentium"/>
          <w:sz w:val="24"/>
          <w:szCs w:val="24"/>
        </w:rPr>
        <w:t xml:space="preserve">ă</w:t>
      </w:r>
      <w:r>
        <w:rPr>
          <w:rFonts w:ascii="Gentium" w:hAnsi="Gentium" w:eastAsia="Gentium" w:cs="Gentium"/>
          <w:sz w:val="24"/>
          <w:szCs w:val="24"/>
        </w:rPr>
        <w:t xml:space="preserve">. Între ideile de bază: dreptul individului la o viaţă acceptabilă.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Legislaţie militărie</w:t>
      </w:r>
      <w:r>
        <w:rPr>
          <w:rFonts w:ascii="Gentium" w:hAnsi="Gentium" w:eastAsia="Gentium" w:cs="Gentium"/>
          <w:sz w:val="24"/>
          <w:szCs w:val="24"/>
        </w:rPr>
        <w:t xml:space="preserve"> 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 w:firstLine="0" w:left="72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Existau scutiri speciale care indicau grija faţă de cetăţean, </w:t>
      </w:r>
      <w:r>
        <w:rPr>
          <w:rFonts w:ascii="Gentium" w:hAnsi="Gentium" w:eastAsia="Gentium" w:cs="Gentium"/>
          <w:sz w:val="24"/>
          <w:szCs w:val="24"/>
        </w:rPr>
        <w:t xml:space="preserve">Deut</w:t>
      </w:r>
      <w:r>
        <w:rPr>
          <w:rFonts w:ascii="Gentium" w:hAnsi="Gentium" w:eastAsia="Gentium" w:cs="Gentium"/>
          <w:sz w:val="24"/>
          <w:szCs w:val="24"/>
        </w:rPr>
        <w:t xml:space="preserve">eronom</w:t>
      </w:r>
      <w:r>
        <w:rPr>
          <w:rFonts w:ascii="Gentium" w:hAnsi="Gentium" w:eastAsia="Gentium" w:cs="Gentium"/>
          <w:sz w:val="24"/>
          <w:szCs w:val="24"/>
        </w:rPr>
        <w:t xml:space="preserve"> 24.1-5</w:t>
      </w:r>
      <w:r>
        <w:rPr>
          <w:rFonts w:ascii="Gentium" w:hAnsi="Gentium" w:eastAsia="Gentium" w:cs="Gentium"/>
          <w:sz w:val="24"/>
          <w:szCs w:val="24"/>
        </w:rPr>
        <w:t xml:space="preserve">, 20.1-8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Legislaţie pături defavorizate</w:t>
      </w:r>
      <w:r>
        <w:rPr>
          <w:rFonts w:ascii="Gentium" w:hAnsi="Gentium" w:eastAsia="Gentium" w:cs="Gentium"/>
          <w:sz w:val="24"/>
          <w:szCs w:val="24"/>
        </w:rPr>
        <w:t xml:space="preserve">: văduve, orfani, străini</w:t>
      </w:r>
      <w:r>
        <w:rPr>
          <w:rFonts w:ascii="Gentium" w:hAnsi="Gentium" w:eastAsia="Gentium" w:cs="Gentium"/>
          <w:sz w:val="24"/>
          <w:szCs w:val="24"/>
        </w:rPr>
        <w:fldChar w:fldCharType="begin"/>
      </w:r>
      <w:r>
        <w:rPr>
          <w:rFonts w:ascii="Gentium" w:hAnsi="Gentium" w:eastAsia="Gentium" w:cs="Gentium"/>
          <w:sz w:val="24"/>
          <w:szCs w:val="24"/>
        </w:rPr>
        <w:instrText xml:space="preserve"> XE "defavorizare:defavorizate" </w:instrText>
      </w:r>
      <w:r>
        <w:rPr>
          <w:rFonts w:ascii="Gentium" w:hAnsi="Gentium" w:eastAsia="Gentium" w:cs="Gentium"/>
          <w:sz w:val="24"/>
          <w:szCs w:val="24"/>
        </w:rPr>
        <w:fldChar w:fldCharType="end"/>
      </w:r>
      <w:r>
        <w:rPr>
          <w:rFonts w:ascii="Gentium" w:hAnsi="Gentium" w:eastAsia="Gentium" w:cs="Gentium"/>
          <w:sz w:val="24"/>
          <w:szCs w:val="24"/>
        </w:rPr>
        <w:t xml:space="preserve"> 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 w:firstLine="0" w:left="72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Exod. 22.20-24</w:t>
      </w:r>
      <w:r>
        <w:rPr>
          <w:rFonts w:ascii="Gentium" w:hAnsi="Gentium" w:eastAsia="Gentium" w:cs="Gentium"/>
          <w:sz w:val="24"/>
          <w:szCs w:val="24"/>
        </w:rPr>
        <w:t xml:space="preserve">, 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 w:firstLine="0" w:left="72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Ier</w:t>
      </w:r>
      <w:r>
        <w:rPr>
          <w:rFonts w:ascii="Gentium" w:hAnsi="Gentium" w:eastAsia="Gentium" w:cs="Gentium"/>
          <w:sz w:val="24"/>
          <w:szCs w:val="24"/>
        </w:rPr>
        <w:t xml:space="preserve">emia</w:t>
      </w:r>
      <w:r>
        <w:rPr>
          <w:rFonts w:ascii="Gentium" w:hAnsi="Gentium" w:eastAsia="Gentium" w:cs="Gentium"/>
          <w:sz w:val="24"/>
          <w:szCs w:val="24"/>
        </w:rPr>
        <w:t xml:space="preserve"> 7.1-14, dreptate şi închinare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 w:firstLine="0" w:left="72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Maleahi 2-3</w:t>
      </w:r>
      <w:r>
        <w:rPr>
          <w:rFonts w:ascii="Gentium" w:hAnsi="Gentium" w:eastAsia="Gentium" w:cs="Gentium"/>
          <w:sz w:val="24"/>
          <w:szCs w:val="24"/>
        </w:rPr>
        <w:t xml:space="preserve">, prob</w:t>
      </w:r>
      <w:r>
        <w:rPr>
          <w:rFonts w:ascii="Gentium" w:hAnsi="Gentium" w:eastAsia="Gentium" w:cs="Gentium"/>
          <w:sz w:val="24"/>
          <w:szCs w:val="24"/>
        </w:rPr>
        <w:t xml:space="preserve">leme</w:t>
      </w:r>
      <w:r>
        <w:rPr>
          <w:rFonts w:ascii="Gentium" w:hAnsi="Gentium" w:eastAsia="Gentium" w:cs="Gentium"/>
          <w:sz w:val="24"/>
          <w:szCs w:val="24"/>
        </w:rPr>
        <w:t xml:space="preserve">le</w:t>
      </w:r>
      <w:r>
        <w:rPr>
          <w:rFonts w:ascii="Gentium" w:hAnsi="Gentium" w:eastAsia="Gentium" w:cs="Gentium"/>
          <w:sz w:val="24"/>
          <w:szCs w:val="24"/>
        </w:rPr>
        <w:t xml:space="preserve"> zeciu</w:t>
      </w:r>
      <w:r>
        <w:rPr>
          <w:rFonts w:ascii="Gentium" w:hAnsi="Gentium" w:eastAsia="Gentium" w:cs="Gentium"/>
          <w:sz w:val="24"/>
          <w:szCs w:val="24"/>
        </w:rPr>
        <w:t xml:space="preserve">ie</w:t>
      </w:r>
      <w:r>
        <w:rPr>
          <w:rFonts w:ascii="Gentium" w:hAnsi="Gentium" w:eastAsia="Gentium" w:cs="Gentium"/>
          <w:sz w:val="24"/>
          <w:szCs w:val="24"/>
        </w:rPr>
        <w:t xml:space="preserve">lii</w:t>
      </w:r>
      <w:r>
        <w:rPr>
          <w:rFonts w:ascii="Gentium" w:hAnsi="Gentium" w:eastAsia="Gentium" w:cs="Gentium"/>
          <w:sz w:val="24"/>
          <w:szCs w:val="24"/>
        </w:rPr>
        <w:t xml:space="preserve"> – datorie şi binecuvântare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ab/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Legislaţie robi-stăpâni</w:t>
      </w:r>
      <w:r>
        <w:rPr>
          <w:rFonts w:ascii="Gentium" w:hAnsi="Gentium" w:eastAsia="Gentium" w:cs="Gentium"/>
          <w:sz w:val="24"/>
          <w:szCs w:val="24"/>
        </w:rPr>
        <w:t xml:space="preserve">, Deut. 15.1-17</w:t>
      </w:r>
      <w:r>
        <w:rPr>
          <w:rFonts w:ascii="Gentium" w:hAnsi="Gentium" w:eastAsia="Gentium" w:cs="Gentium"/>
          <w:sz w:val="24"/>
          <w:szCs w:val="24"/>
        </w:rPr>
        <w:t xml:space="preserve">, Exod 21.1-11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Relaţii</w:t>
      </w:r>
      <w:r>
        <w:rPr>
          <w:rFonts w:ascii="Gentium" w:hAnsi="Gentium" w:eastAsia="Gentium" w:cs="Gentium"/>
          <w:sz w:val="24"/>
          <w:szCs w:val="24"/>
        </w:rPr>
        <w:t xml:space="preserve"> sociale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ab/>
      </w:r>
      <w:r>
        <w:rPr>
          <w:rFonts w:ascii="Gentium" w:hAnsi="Gentium" w:eastAsia="Gentium" w:cs="Gentium"/>
          <w:sz w:val="24"/>
          <w:szCs w:val="24"/>
        </w:rPr>
        <w:t xml:space="preserve">Eliberare</w:t>
      </w:r>
      <w:r>
        <w:rPr>
          <w:rFonts w:ascii="Gentium" w:hAnsi="Gentium" w:eastAsia="Gentium" w:cs="Gentium"/>
          <w:sz w:val="24"/>
          <w:szCs w:val="24"/>
        </w:rPr>
        <w:t xml:space="preserve">, la 7 ani, la 49</w:t>
      </w:r>
      <w:r>
        <w:rPr>
          <w:rFonts w:ascii="Gentium" w:hAnsi="Gentium" w:eastAsia="Gentium" w:cs="Gentium"/>
          <w:sz w:val="24"/>
          <w:szCs w:val="24"/>
        </w:rPr>
        <w:t xml:space="preserve">, Levitic 2</w:t>
      </w:r>
      <w:r>
        <w:rPr>
          <w:rFonts w:ascii="Gentium" w:hAnsi="Gentium" w:eastAsia="Gentium" w:cs="Gentium"/>
          <w:sz w:val="24"/>
          <w:szCs w:val="24"/>
        </w:rPr>
        <w:t xml:space="preserve">5.1-18</w:t>
      </w:r>
      <w:r>
        <w:rPr>
          <w:rFonts w:ascii="Gentium" w:hAnsi="Gentium" w:eastAsia="Gentium" w:cs="Gentium"/>
          <w:sz w:val="24"/>
          <w:szCs w:val="24"/>
        </w:rPr>
        <w:t xml:space="preserve">.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ab/>
      </w:r>
      <w:r>
        <w:rPr>
          <w:rFonts w:ascii="Gentium" w:hAnsi="Gentium" w:eastAsia="Gentium" w:cs="Gentium"/>
          <w:sz w:val="24"/>
          <w:szCs w:val="24"/>
        </w:rPr>
        <w:t xml:space="preserve">Consacrare robie</w:t>
      </w:r>
      <w:r>
        <w:rPr>
          <w:rFonts w:ascii="Gentium" w:hAnsi="Gentium" w:eastAsia="Gentium" w:cs="Gentium"/>
          <w:sz w:val="24"/>
          <w:szCs w:val="24"/>
        </w:rPr>
        <w:t xml:space="preserve">: robul care rămâne la stăpân, de 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ab/>
        <w:t xml:space="preserve">bună voie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ab/>
      </w:r>
      <w:r>
        <w:rPr>
          <w:rFonts w:ascii="Gentium" w:hAnsi="Gentium" w:eastAsia="Gentium" w:cs="Gentium"/>
          <w:sz w:val="24"/>
          <w:szCs w:val="24"/>
        </w:rPr>
        <w:t xml:space="preserve">Robul Domnului</w:t>
      </w:r>
      <w:r>
        <w:rPr>
          <w:rFonts w:ascii="Gentium" w:hAnsi="Gentium" w:eastAsia="Gentium" w:cs="Gentium"/>
          <w:sz w:val="24"/>
          <w:szCs w:val="24"/>
        </w:rPr>
        <w:t xml:space="preserve"> – slujirea </w:t>
      </w:r>
      <w:r>
        <w:rPr>
          <w:rFonts w:ascii="Gentium" w:hAnsi="Gentium" w:eastAsia="Gentium" w:cs="Gentium"/>
          <w:sz w:val="24"/>
          <w:szCs w:val="24"/>
        </w:rPr>
        <w:t xml:space="preserve">ca rob, pentru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 w:firstLine="72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Dumnezeu, văzută </w:t>
      </w:r>
      <w:r>
        <w:rPr>
          <w:rFonts w:ascii="Gentium" w:hAnsi="Gentium" w:eastAsia="Gentium" w:cs="Gentium"/>
          <w:sz w:val="24"/>
          <w:szCs w:val="24"/>
        </w:rPr>
        <w:t xml:space="preserve">ca o onoare.</w:t>
      </w:r>
      <w:r>
        <w:rPr>
          <w:rFonts w:ascii="Gentium" w:hAnsi="Gentium" w:eastAsia="Gentium" w:cs="Gentium"/>
          <w:sz w:val="24"/>
          <w:szCs w:val="24"/>
        </w:rPr>
        <w:t xml:space="preserve"> Isaia 40-53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Legislaţie căsătorie</w:t>
      </w:r>
      <w:r>
        <w:rPr>
          <w:rFonts w:ascii="Gentium" w:hAnsi="Gentium" w:eastAsia="Gentium" w:cs="Gentium"/>
          <w:sz w:val="24"/>
          <w:szCs w:val="24"/>
        </w:rPr>
        <w:t xml:space="preserve">, 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Exod 21.7-11 (</w:t>
      </w:r>
      <w:r>
        <w:rPr>
          <w:rFonts w:ascii="Gentium" w:hAnsi="Gentium" w:eastAsia="Gentium" w:cs="Gentium"/>
          <w:sz w:val="24"/>
          <w:szCs w:val="24"/>
        </w:rPr>
        <w:t xml:space="preserve">soarta unei sclave, responsabilităţi</w:t>
      </w:r>
      <w:r>
        <w:rPr>
          <w:rFonts w:ascii="Gentium" w:hAnsi="Gentium" w:eastAsia="Gentium" w:cs="Gentium"/>
          <w:sz w:val="24"/>
          <w:szCs w:val="24"/>
        </w:rPr>
        <w:t xml:space="preserve">)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ab/>
      </w:r>
      <w:r>
        <w:rPr>
          <w:rFonts w:ascii="Gentium" w:hAnsi="Gentium" w:eastAsia="Gentium" w:cs="Gentium"/>
          <w:sz w:val="24"/>
          <w:szCs w:val="24"/>
        </w:rPr>
        <w:t xml:space="preserve">Deut</w:t>
      </w:r>
      <w:r>
        <w:rPr>
          <w:rFonts w:ascii="Gentium" w:hAnsi="Gentium" w:eastAsia="Gentium" w:cs="Gentium"/>
          <w:sz w:val="24"/>
          <w:szCs w:val="24"/>
        </w:rPr>
        <w:t xml:space="preserve">eronom</w:t>
      </w:r>
      <w:r>
        <w:rPr>
          <w:rFonts w:ascii="Gentium" w:hAnsi="Gentium" w:eastAsia="Gentium" w:cs="Gentium"/>
          <w:sz w:val="24"/>
          <w:szCs w:val="24"/>
        </w:rPr>
        <w:t xml:space="preserve"> 21.10-21 (prizoniera</w:t>
      </w:r>
      <w:r>
        <w:rPr>
          <w:rFonts w:ascii="Gentium" w:hAnsi="Gentium" w:eastAsia="Gentium" w:cs="Gentium"/>
          <w:sz w:val="24"/>
          <w:szCs w:val="24"/>
        </w:rPr>
        <w:t xml:space="preserve"> şi drepturile ei</w:t>
      </w:r>
      <w:r>
        <w:rPr>
          <w:rFonts w:ascii="Gentium" w:hAnsi="Gentium" w:eastAsia="Gentium" w:cs="Gentium"/>
          <w:sz w:val="24"/>
          <w:szCs w:val="24"/>
        </w:rPr>
        <w:t xml:space="preserve">)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ab/>
      </w:r>
      <w:r>
        <w:rPr>
          <w:rFonts w:ascii="Gentium" w:hAnsi="Gentium" w:eastAsia="Gentium" w:cs="Gentium"/>
          <w:sz w:val="24"/>
          <w:szCs w:val="24"/>
        </w:rPr>
        <w:t xml:space="preserve">Deut</w:t>
      </w:r>
      <w:r>
        <w:rPr>
          <w:rFonts w:ascii="Gentium" w:hAnsi="Gentium" w:eastAsia="Gentium" w:cs="Gentium"/>
          <w:sz w:val="24"/>
          <w:szCs w:val="24"/>
        </w:rPr>
        <w:t xml:space="preserve">eronom</w:t>
      </w:r>
      <w:r>
        <w:rPr>
          <w:rFonts w:ascii="Gentium" w:hAnsi="Gentium" w:eastAsia="Gentium" w:cs="Gentium"/>
          <w:sz w:val="24"/>
          <w:szCs w:val="24"/>
        </w:rPr>
        <w:t xml:space="preserve"> 22.13-30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ab/>
      </w:r>
      <w:r>
        <w:rPr>
          <w:rFonts w:ascii="Gentium" w:hAnsi="Gentium" w:eastAsia="Gentium" w:cs="Gentium"/>
          <w:sz w:val="24"/>
          <w:szCs w:val="24"/>
        </w:rPr>
        <w:t xml:space="preserve">Deut</w:t>
      </w:r>
      <w:r>
        <w:rPr>
          <w:rFonts w:ascii="Gentium" w:hAnsi="Gentium" w:eastAsia="Gentium" w:cs="Gentium"/>
          <w:sz w:val="24"/>
          <w:szCs w:val="24"/>
        </w:rPr>
        <w:t xml:space="preserve">eronom</w:t>
      </w:r>
      <w:r>
        <w:rPr>
          <w:rFonts w:ascii="Gentium" w:hAnsi="Gentium" w:eastAsia="Gentium" w:cs="Gentium"/>
          <w:sz w:val="24"/>
          <w:szCs w:val="24"/>
        </w:rPr>
        <w:t xml:space="preserve"> 24.1-5 (divorţ</w:t>
      </w:r>
      <w:r>
        <w:rPr>
          <w:rFonts w:ascii="Gentium" w:hAnsi="Gentium" w:eastAsia="Gentium" w:cs="Gentium"/>
          <w:sz w:val="24"/>
          <w:szCs w:val="24"/>
        </w:rPr>
        <w:t xml:space="preserve">ul şi drepturile soţiei</w:t>
      </w:r>
      <w:r>
        <w:rPr>
          <w:rFonts w:ascii="Gentium" w:hAnsi="Gentium" w:eastAsia="Gentium" w:cs="Gentium"/>
          <w:sz w:val="24"/>
          <w:szCs w:val="24"/>
        </w:rPr>
        <w:t xml:space="preserve">)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 w:firstLine="0" w:left="72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Numeri</w:t>
      </w:r>
      <w:r>
        <w:rPr>
          <w:rFonts w:ascii="Gentium" w:hAnsi="Gentium" w:eastAsia="Gentium" w:cs="Gentium"/>
          <w:sz w:val="24"/>
          <w:szCs w:val="24"/>
        </w:rPr>
        <w:t xml:space="preserve"> 30 (</w:t>
      </w:r>
      <w:r>
        <w:rPr>
          <w:rFonts w:ascii="Gentium" w:hAnsi="Gentium" w:eastAsia="Gentium" w:cs="Gentium"/>
          <w:sz w:val="24"/>
          <w:szCs w:val="24"/>
        </w:rPr>
        <w:t xml:space="preserve">femeia şi </w:t>
      </w:r>
      <w:r>
        <w:rPr>
          <w:rFonts w:ascii="Gentium" w:hAnsi="Gentium" w:eastAsia="Gentium" w:cs="Gentium"/>
          <w:sz w:val="24"/>
          <w:szCs w:val="24"/>
        </w:rPr>
        <w:t xml:space="preserve">responsabilitatea juruinţei: este important</w:t>
      </w:r>
      <w:r>
        <w:rPr>
          <w:rFonts w:ascii="Gentium" w:hAnsi="Gentium" w:eastAsia="Gentium" w:cs="Gentium"/>
          <w:sz w:val="24"/>
          <w:szCs w:val="24"/>
        </w:rPr>
        <w:t xml:space="preserve"> să </w:t>
      </w:r>
      <w:r>
        <w:rPr>
          <w:rFonts w:ascii="Gentium" w:hAnsi="Gentium" w:eastAsia="Gentium" w:cs="Gentium"/>
          <w:sz w:val="24"/>
          <w:szCs w:val="24"/>
        </w:rPr>
        <w:t xml:space="preserve">se asigure funcţionalitatea familiei; deosebirile acceptate nu ţin de o ontologie diferită sau de capacităţi diferite, ci de funcţionalitatea familiei sub conducerea tatălui sau cea a soţului: femeia văduvă este pe deplin responsabilă</w:t>
      </w:r>
      <w:r>
        <w:rPr>
          <w:rFonts w:ascii="Gentium" w:hAnsi="Gentium" w:eastAsia="Gentium" w:cs="Gentium"/>
          <w:sz w:val="24"/>
          <w:szCs w:val="24"/>
        </w:rPr>
        <w:t xml:space="preserve">)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Clase defavorizate politic: „vameşii şi păcătoşii”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Sclavagis</w:t>
      </w:r>
      <w:r>
        <w:rPr>
          <w:rFonts w:ascii="Gentium" w:hAnsi="Gentium" w:eastAsia="Gentium" w:cs="Gentium"/>
          <w:sz w:val="24"/>
          <w:szCs w:val="24"/>
        </w:rPr>
        <w:t xml:space="preserve">m</w:t>
      </w:r>
      <w:r>
        <w:rPr>
          <w:rFonts w:ascii="Gentium" w:hAnsi="Gentium" w:eastAsia="Gentium" w:cs="Gentium"/>
          <w:sz w:val="24"/>
          <w:szCs w:val="24"/>
        </w:rPr>
        <w:t xml:space="preserve">ul de casă</w:t>
      </w:r>
      <w:r>
        <w:rPr>
          <w:rFonts w:ascii="Gentium" w:hAnsi="Gentium" w:eastAsia="Gentium" w:cs="Gentium"/>
          <w:sz w:val="24"/>
          <w:szCs w:val="24"/>
        </w:rPr>
        <w:t xml:space="preserve"> şi sclavagismul de stat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4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  <w:lang w:val="ro-RO"/>
        </w:rPr>
        <w:t xml:space="preserve">6</w:t>
      </w:r>
      <w:bookmarkStart w:id="47" w:name="_Toc252991851"/>
      <w:r>
        <w:rPr>
          <w:rFonts w:ascii="Gentium" w:hAnsi="Gentium" w:eastAsia="Gentium" w:cs="Gentium"/>
          <w:sz w:val="24"/>
          <w:szCs w:val="24"/>
          <w:lang w:val="ro-RO"/>
        </w:rPr>
        <w:t xml:space="preserve">.</w:t>
      </w:r>
      <w:r>
        <w:rPr>
          <w:rFonts w:ascii="Gentium" w:hAnsi="Gentium" w:eastAsia="Gentium" w:cs="Gentium"/>
          <w:sz w:val="24"/>
          <w:szCs w:val="24"/>
          <w:lang w:val="ro-RO"/>
        </w:rPr>
        <w:t xml:space="preserve">2 Problematica relaţiilor cetăţean </w:t>
      </w:r>
      <w:r>
        <w:rPr>
          <w:rFonts w:ascii="Gentium" w:hAnsi="Gentium" w:eastAsia="Gentium" w:cs="Gentium"/>
          <w:sz w:val="24"/>
          <w:szCs w:val="24"/>
          <w:lang w:val="ro-RO"/>
        </w:rPr>
        <w:t xml:space="preserve">–</w:t>
      </w:r>
      <w:r>
        <w:rPr>
          <w:rFonts w:ascii="Gentium" w:hAnsi="Gentium" w:eastAsia="Gentium" w:cs="Gentium"/>
          <w:sz w:val="24"/>
          <w:szCs w:val="24"/>
          <w:lang w:val="ro-RO"/>
        </w:rPr>
        <w:t xml:space="preserve"> stat</w:t>
      </w:r>
      <w:bookmarkEnd w:id="47"/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Cetăţeanul între libertăţi şi datorii. Greci şi romani. </w:t>
      </w:r>
      <w:r>
        <w:rPr>
          <w:rFonts w:ascii="Gentium" w:hAnsi="Gentium" w:eastAsia="Gentium" w:cs="Gentium"/>
          <w:sz w:val="24"/>
          <w:szCs w:val="24"/>
        </w:rPr>
        <w:t xml:space="preserve">Israel.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O teorie a d</w:t>
      </w:r>
      <w:r>
        <w:rPr>
          <w:rFonts w:ascii="Gentium" w:hAnsi="Gentium" w:eastAsia="Gentium" w:cs="Gentium"/>
          <w:sz w:val="24"/>
          <w:szCs w:val="24"/>
        </w:rPr>
        <w:t xml:space="preserve">reptului şi datoriilor</w:t>
      </w:r>
      <w:r>
        <w:rPr>
          <w:rFonts w:ascii="Gentium" w:hAnsi="Gentium" w:eastAsia="Gentium" w:cs="Gentium"/>
          <w:sz w:val="24"/>
          <w:szCs w:val="24"/>
        </w:rPr>
        <w:fldChar w:fldCharType="begin"/>
      </w:r>
      <w:r>
        <w:rPr>
          <w:rFonts w:ascii="Gentium" w:hAnsi="Gentium" w:eastAsia="Gentium" w:cs="Gentium"/>
          <w:sz w:val="24"/>
          <w:szCs w:val="24"/>
        </w:rPr>
        <w:instrText xml:space="preserve"> XE "datorie" </w:instrText>
      </w:r>
      <w:r>
        <w:rPr>
          <w:rFonts w:ascii="Gentium" w:hAnsi="Gentium" w:eastAsia="Gentium" w:cs="Gentium"/>
          <w:sz w:val="24"/>
          <w:szCs w:val="24"/>
        </w:rPr>
        <w:fldChar w:fldCharType="end"/>
      </w:r>
      <w:r>
        <w:rPr>
          <w:rFonts w:ascii="Gentium" w:hAnsi="Gentium" w:eastAsia="Gentium" w:cs="Gentium"/>
          <w:sz w:val="24"/>
          <w:szCs w:val="24"/>
        </w:rPr>
        <w:t xml:space="preserve"> statului în Israel.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Taxe</w:t>
      </w:r>
      <w:r>
        <w:rPr>
          <w:rFonts w:ascii="Gentium" w:hAnsi="Gentium" w:eastAsia="Gentium" w:cs="Gentium"/>
          <w:sz w:val="24"/>
          <w:szCs w:val="24"/>
        </w:rPr>
        <w:t xml:space="preserve">, Deut</w:t>
      </w:r>
      <w:r>
        <w:rPr>
          <w:rFonts w:ascii="Gentium" w:hAnsi="Gentium" w:eastAsia="Gentium" w:cs="Gentium"/>
          <w:sz w:val="24"/>
          <w:szCs w:val="24"/>
        </w:rPr>
        <w:t xml:space="preserve">eronom</w:t>
      </w:r>
      <w:r>
        <w:rPr>
          <w:rFonts w:ascii="Gentium" w:hAnsi="Gentium" w:eastAsia="Gentium" w:cs="Gentium"/>
          <w:sz w:val="24"/>
          <w:szCs w:val="24"/>
        </w:rPr>
        <w:t xml:space="preserve"> 14.22-30</w:t>
      </w:r>
      <w:r>
        <w:rPr>
          <w:rFonts w:ascii="Gentium" w:hAnsi="Gentium" w:eastAsia="Gentium" w:cs="Gentium"/>
          <w:sz w:val="24"/>
          <w:szCs w:val="24"/>
        </w:rPr>
        <w:t xml:space="preserve">, Maleahi 3 (zeciuială).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Teologia leviţilor: un trib fără proprietăţi</w:t>
      </w:r>
      <w:r>
        <w:rPr>
          <w:rFonts w:ascii="Gentium" w:hAnsi="Gentium" w:eastAsia="Gentium" w:cs="Gentium"/>
          <w:sz w:val="24"/>
          <w:szCs w:val="24"/>
        </w:rPr>
        <w:t xml:space="preserve">, dar cu taxe...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Leviţii, Numeri 18</w:t>
      </w:r>
      <w:r>
        <w:rPr>
          <w:rFonts w:ascii="Gentium" w:hAnsi="Gentium" w:eastAsia="Gentium" w:cs="Gentium"/>
          <w:sz w:val="24"/>
          <w:szCs w:val="24"/>
        </w:rPr>
        <w:t xml:space="preserve">, </w:t>
      </w:r>
      <w:r>
        <w:rPr>
          <w:rFonts w:ascii="Gentium" w:hAnsi="Gentium" w:eastAsia="Gentium" w:cs="Gentium"/>
          <w:sz w:val="24"/>
          <w:szCs w:val="24"/>
        </w:rPr>
        <w:t xml:space="preserve">Leviţii erau </w:t>
      </w:r>
      <w:r>
        <w:rPr>
          <w:rFonts w:ascii="Gentium" w:hAnsi="Gentium" w:eastAsia="Gentium" w:cs="Gentium"/>
          <w:sz w:val="24"/>
          <w:szCs w:val="24"/>
        </w:rPr>
        <w:t xml:space="preserve">tribul </w:t>
      </w:r>
      <w:r>
        <w:rPr>
          <w:rFonts w:ascii="Gentium" w:hAnsi="Gentium" w:eastAsia="Gentium" w:cs="Gentium"/>
          <w:sz w:val="24"/>
          <w:szCs w:val="24"/>
        </w:rPr>
        <w:t xml:space="preserve">fără proprietăţi, a cărui moştenire era divinitatea, şi a care primea drept moştenire taxele (zeciuiala) de la populaţie.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Vameşul – ca </w:t>
      </w:r>
      <w:r>
        <w:rPr>
          <w:rFonts w:ascii="Gentium" w:hAnsi="Gentium" w:eastAsia="Gentium" w:cs="Gentium"/>
          <w:sz w:val="24"/>
          <w:szCs w:val="24"/>
        </w:rPr>
        <w:t xml:space="preserve">păcătos şi ca </w:t>
      </w:r>
      <w:r>
        <w:rPr>
          <w:rFonts w:ascii="Gentium" w:hAnsi="Gentium" w:eastAsia="Gentium" w:cs="Gentium"/>
          <w:sz w:val="24"/>
          <w:szCs w:val="24"/>
        </w:rPr>
        <w:t xml:space="preserve">trădător</w:t>
      </w:r>
      <w:r>
        <w:rPr>
          <w:rFonts w:ascii="Gentium" w:hAnsi="Gentium" w:eastAsia="Gentium" w:cs="Gentium"/>
          <w:sz w:val="24"/>
          <w:szCs w:val="24"/>
        </w:rPr>
        <w:t xml:space="preserve"> al naţiunii</w:t>
      </w:r>
      <w:r>
        <w:rPr>
          <w:rFonts w:ascii="Gentium" w:hAnsi="Gentium" w:eastAsia="Gentium" w:cs="Gentium"/>
          <w:sz w:val="24"/>
          <w:szCs w:val="24"/>
        </w:rPr>
        <w:t xml:space="preserve">.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Bibliografie: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Sanders, </w:t>
      </w:r>
      <w:r>
        <w:rPr>
          <w:rFonts w:ascii="Gentium" w:hAnsi="Gentium" w:eastAsia="Gentium" w:cs="Gentium"/>
          <w:i/>
          <w:sz w:val="24"/>
          <w:szCs w:val="24"/>
        </w:rPr>
        <w:t xml:space="preserve">Judaism,</w:t>
      </w:r>
      <w:r>
        <w:rPr>
          <w:rFonts w:ascii="Gentium" w:hAnsi="Gentium" w:eastAsia="Gentium" w:cs="Gentium"/>
          <w:sz w:val="24"/>
          <w:szCs w:val="24"/>
        </w:rPr>
        <w:t xml:space="preserve"> 1-44; 190-314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Sanders, </w:t>
      </w:r>
      <w:r>
        <w:rPr>
          <w:rFonts w:ascii="Gentium" w:hAnsi="Gentium" w:eastAsia="Gentium" w:cs="Gentium"/>
          <w:i/>
          <w:sz w:val="24"/>
          <w:szCs w:val="24"/>
        </w:rPr>
        <w:t xml:space="preserve">Jesus and Judaism</w:t>
      </w:r>
      <w:r>
        <w:rPr>
          <w:rFonts w:ascii="Gentium" w:hAnsi="Gentium" w:eastAsia="Gentium" w:cs="Gentium"/>
          <w:sz w:val="24"/>
          <w:szCs w:val="24"/>
        </w:rPr>
        <w:t xml:space="preserve">, 174-211, 245-267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Cary şi Scullard, </w:t>
      </w:r>
      <w:r>
        <w:rPr>
          <w:rFonts w:ascii="Gentium" w:hAnsi="Gentium" w:eastAsia="Gentium" w:cs="Gentium"/>
          <w:i/>
          <w:sz w:val="24"/>
          <w:szCs w:val="24"/>
        </w:rPr>
        <w:t xml:space="preserve">Istoria Romei</w:t>
      </w:r>
      <w:r>
        <w:rPr>
          <w:rFonts w:ascii="Gentium" w:hAnsi="Gentium" w:eastAsia="Gentium" w:cs="Gentium"/>
          <w:sz w:val="24"/>
          <w:szCs w:val="24"/>
        </w:rPr>
        <w:t xml:space="preserve">, 57-64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Plus bibliografia de la resurse.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4CEB7209"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706CD7A4"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50CFB66E">
      <w:pPr>
        <w:pStyle w:val="1713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</w:r>
      <w:bookmarkStart w:id="62" w:name="_Toc252991866"/>
      <w:r>
        <w:rPr>
          <w:rFonts w:ascii="Gentium" w:hAnsi="Gentium" w:eastAsia="Gentium" w:cs="Gentium"/>
          <w:sz w:val="24"/>
          <w:szCs w:val="24"/>
        </w:rPr>
        <w:t xml:space="preserve">Curs </w:t>
      </w:r>
      <w:r>
        <w:rPr>
          <w:rFonts w:ascii="Gentium" w:hAnsi="Gentium" w:eastAsia="Gentium" w:cs="Gentium"/>
          <w:sz w:val="24"/>
          <w:szCs w:val="24"/>
          <w:lang w:val="en-US"/>
        </w:rPr>
        <w:t xml:space="preserve">7</w:t>
      </w:r>
      <w:r>
        <w:rPr>
          <w:rFonts w:ascii="Gentium" w:hAnsi="Gentium" w:eastAsia="Gentium" w:cs="Gentium"/>
          <w:sz w:val="24"/>
          <w:szCs w:val="24"/>
        </w:rPr>
        <w:t xml:space="preserve">. Noul Testament şi politicile sociale</w:t>
      </w:r>
      <w:bookmarkEnd w:id="62"/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20C0A260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Aspecte de politică socială în NT: mişcarea socială, relaţiile sociale, mecanismele juridice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61BBD923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74338A6A">
      <w:pPr>
        <w:pStyle w:val="1714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</w:r>
      <w:bookmarkStart w:id="63" w:name="_Toc252991867"/>
      <w:r>
        <w:rPr>
          <w:rFonts w:ascii="Gentium" w:hAnsi="Gentium" w:eastAsia="Gentium" w:cs="Gentium"/>
          <w:sz w:val="24"/>
          <w:szCs w:val="24"/>
          <w:lang w:val="en-US"/>
        </w:rPr>
        <w:t xml:space="preserve">7</w:t>
      </w:r>
      <w:r>
        <w:rPr>
          <w:rFonts w:ascii="Gentium" w:hAnsi="Gentium" w:eastAsia="Gentium" w:cs="Gentium"/>
          <w:sz w:val="24"/>
          <w:szCs w:val="24"/>
          <w:lang w:val="ro-RO"/>
        </w:rPr>
        <w:t xml:space="preserve">.1 Relaţii la nivel microsocial</w:t>
      </w:r>
      <w:bookmarkEnd w:id="63"/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3376A84D">
      <w:pPr>
        <w:pStyle w:val="1715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  <w:lang w:val="ro-RO"/>
        </w:rPr>
        <w:t xml:space="preserve">Tema „</w:t>
      </w:r>
      <w:r>
        <w:rPr>
          <w:rFonts w:ascii="Gentium" w:hAnsi="Gentium" w:eastAsia="Gentium" w:cs="Gentium"/>
          <w:sz w:val="24"/>
          <w:szCs w:val="24"/>
          <w:lang w:val="ro-RO"/>
        </w:rPr>
        <w:t xml:space="preserve">bogaţi şi săraci</w:t>
      </w:r>
      <w:r>
        <w:rPr>
          <w:rFonts w:ascii="Gentium" w:hAnsi="Gentium" w:eastAsia="Gentium" w:cs="Gentium"/>
          <w:sz w:val="24"/>
          <w:szCs w:val="24"/>
          <w:lang w:val="ro-RO"/>
        </w:rPr>
        <w:t xml:space="preserve">” (Luca şi Pavel)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0DCD5E95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Personaje </w:t>
      </w:r>
      <w:r>
        <w:rPr>
          <w:rFonts w:ascii="Gentium" w:hAnsi="Gentium" w:eastAsia="Gentium" w:cs="Gentium"/>
          <w:sz w:val="24"/>
          <w:szCs w:val="24"/>
        </w:rPr>
        <w:t xml:space="preserve">bogate </w:t>
      </w:r>
      <w:r>
        <w:rPr>
          <w:rFonts w:ascii="Gentium" w:hAnsi="Gentium" w:eastAsia="Gentium" w:cs="Gentium"/>
          <w:sz w:val="24"/>
          <w:szCs w:val="24"/>
        </w:rPr>
        <w:t xml:space="preserve">faimoase: 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3906C50F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Teofil,</w:t>
      </w:r>
      <w:r>
        <w:rPr>
          <w:rFonts w:ascii="Gentium" w:hAnsi="Gentium" w:eastAsia="Gentium" w:cs="Gentium"/>
          <w:sz w:val="24"/>
          <w:szCs w:val="24"/>
        </w:rPr>
        <w:t xml:space="preserve"> </w:t>
      </w:r>
      <w:r>
        <w:rPr>
          <w:rFonts w:ascii="Gentium" w:hAnsi="Gentium" w:eastAsia="Gentium" w:cs="Gentium"/>
          <w:sz w:val="24"/>
          <w:szCs w:val="24"/>
        </w:rPr>
        <w:t xml:space="preserve">Samariteanul,</w:t>
      </w:r>
      <w:r>
        <w:rPr>
          <w:rFonts w:ascii="Gentium" w:hAnsi="Gentium" w:eastAsia="Gentium" w:cs="Gentium"/>
          <w:sz w:val="24"/>
          <w:szCs w:val="24"/>
        </w:rPr>
        <w:t xml:space="preserve"> Fiul răzvrătit,</w:t>
      </w:r>
      <w:r>
        <w:rPr>
          <w:rFonts w:ascii="Gentium" w:hAnsi="Gentium" w:eastAsia="Gentium" w:cs="Gentium"/>
          <w:sz w:val="24"/>
          <w:szCs w:val="24"/>
        </w:rPr>
        <w:t xml:space="preserve"> </w:t>
      </w:r>
      <w:r>
        <w:rPr>
          <w:rFonts w:ascii="Gentium" w:hAnsi="Gentium" w:eastAsia="Gentium" w:cs="Gentium"/>
          <w:sz w:val="24"/>
          <w:szCs w:val="24"/>
        </w:rPr>
        <w:t xml:space="preserve">Zacheu,</w:t>
      </w:r>
      <w:r>
        <w:rPr>
          <w:rFonts w:ascii="Gentium" w:hAnsi="Gentium" w:eastAsia="Gentium" w:cs="Gentium"/>
          <w:sz w:val="24"/>
          <w:szCs w:val="24"/>
        </w:rPr>
        <w:t xml:space="preserve"> Sergius Paulus, Famenul etiopian, Irod, Felix şi Festus, Agrippa.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7B26DE9F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Nicodim, Iosif din Arimateea (Ioan)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5DE4B53F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Onisim şi Filimon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2B0B0B1B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6A870638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Cf., însă şi 1 Corinteni 1.26, „Fraţilor, uitaţi-vă la chemarea voastră: nu mulţi sunteţi înţelepţi după măsura oamenilor, nu mulţi sunteţi puternici, nu mulţi sunteţi de neam bun;”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7545CA69">
      <w:pPr>
        <w:pStyle w:val="1715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  <w:lang w:val="ro-RO"/>
        </w:rPr>
        <w:t xml:space="preserve">Tema r</w:t>
      </w:r>
      <w:r>
        <w:rPr>
          <w:rFonts w:ascii="Gentium" w:hAnsi="Gentium" w:eastAsia="Gentium" w:cs="Gentium"/>
          <w:sz w:val="24"/>
          <w:szCs w:val="24"/>
          <w:lang w:val="ro-RO"/>
        </w:rPr>
        <w:t xml:space="preserve">eguli</w:t>
      </w:r>
      <w:r>
        <w:rPr>
          <w:rFonts w:ascii="Gentium" w:hAnsi="Gentium" w:eastAsia="Gentium" w:cs="Gentium"/>
          <w:sz w:val="24"/>
          <w:szCs w:val="24"/>
          <w:lang w:val="ro-RO"/>
        </w:rPr>
        <w:t xml:space="preserve">lor</w:t>
      </w:r>
      <w:r>
        <w:rPr>
          <w:rFonts w:ascii="Gentium" w:hAnsi="Gentium" w:eastAsia="Gentium" w:cs="Gentium"/>
          <w:sz w:val="24"/>
          <w:szCs w:val="24"/>
          <w:lang w:val="ro-RO"/>
        </w:rPr>
        <w:t xml:space="preserve"> </w:t>
      </w:r>
      <w:r>
        <w:rPr>
          <w:rFonts w:ascii="Gentium" w:hAnsi="Gentium" w:eastAsia="Gentium" w:cs="Gentium"/>
          <w:sz w:val="24"/>
          <w:szCs w:val="24"/>
          <w:lang w:val="ro-RO"/>
        </w:rPr>
        <w:t xml:space="preserve">pentru relaţiile </w:t>
      </w:r>
      <w:r>
        <w:rPr>
          <w:rFonts w:ascii="Gentium" w:hAnsi="Gentium" w:eastAsia="Gentium" w:cs="Gentium"/>
          <w:sz w:val="24"/>
          <w:szCs w:val="24"/>
          <w:lang w:val="ro-RO"/>
        </w:rPr>
        <w:t xml:space="preserve">dintre </w:t>
      </w:r>
      <w:r>
        <w:rPr>
          <w:rFonts w:ascii="Gentium" w:hAnsi="Gentium" w:eastAsia="Gentium" w:cs="Gentium"/>
          <w:sz w:val="24"/>
          <w:szCs w:val="24"/>
          <w:lang w:val="ro-RO"/>
        </w:rPr>
        <w:t xml:space="preserve">sclavi-patroni</w:t>
      </w:r>
      <w:r>
        <w:rPr>
          <w:rFonts w:ascii="Gentium" w:hAnsi="Gentium" w:eastAsia="Gentium" w:cs="Gentium"/>
          <w:sz w:val="24"/>
          <w:szCs w:val="24"/>
          <w:lang w:val="ro-RO"/>
        </w:rPr>
        <w:t xml:space="preserve"> 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3E69F543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(Efeseni-Coloseni; 1 Timotei – Tit).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00C15997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0A4C4569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teologie creştină şi viaţa economică (sclavia): Filimon, 1 Corinteni 7; 1 Timotei – Tit; Efeseni - Coloseni;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32410A71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4E6E9BEC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De observat retorica abruptă a lui Iacov, fratele (vărul) lui Isus, împotriva bogaţilor, în epistola lui Iacov 5.1-6</w:t>
      </w:r>
      <w:r>
        <w:rPr>
          <w:rFonts w:ascii="Gentium" w:hAnsi="Gentium" w:eastAsia="Gentium" w:cs="Gentium"/>
          <w:sz w:val="24"/>
          <w:szCs w:val="24"/>
        </w:rPr>
        <w:t xml:space="preserve">; cf. şi Iacov 1.9-11.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229C01BD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105A02F9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De asemeni, împotriva </w:t>
      </w:r>
      <w:r>
        <w:rPr>
          <w:rFonts w:ascii="Gentium" w:hAnsi="Gentium" w:eastAsia="Gentium" w:cs="Gentium"/>
          <w:sz w:val="24"/>
          <w:szCs w:val="24"/>
        </w:rPr>
        <w:t xml:space="preserve">discriminării</w:t>
      </w:r>
      <w:r>
        <w:rPr>
          <w:rFonts w:ascii="Gentium" w:hAnsi="Gentium" w:eastAsia="Gentium" w:cs="Gentium"/>
          <w:sz w:val="24"/>
          <w:szCs w:val="24"/>
        </w:rPr>
        <w:t xml:space="preserve"> în funcţie de avere</w:t>
      </w:r>
      <w:r>
        <w:rPr>
          <w:rFonts w:ascii="Gentium" w:hAnsi="Gentium" w:eastAsia="Gentium" w:cs="Gentium"/>
          <w:sz w:val="24"/>
          <w:szCs w:val="24"/>
        </w:rPr>
        <w:t xml:space="preserve">: </w:t>
      </w:r>
      <w:r>
        <w:rPr>
          <w:rFonts w:ascii="Gentium" w:hAnsi="Gentium" w:eastAsia="Gentium" w:cs="Gentium"/>
          <w:sz w:val="24"/>
          <w:szCs w:val="24"/>
        </w:rPr>
        <w:t xml:space="preserve">Iacov 2.1-13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17CDD24A">
      <w:pPr>
        <w:pStyle w:val="1715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  <w:lang w:val="ro-RO"/>
        </w:rPr>
        <w:t xml:space="preserve">Conflicte şi organizare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6E0550D3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Conflicte şi rezolvarea lor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79B34600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În Biserică şi în afara Bisericii, în societate, şi rezolvarea lor; </w:t>
      </w:r>
      <w:r>
        <w:rPr>
          <w:rFonts w:ascii="Gentium" w:hAnsi="Gentium" w:eastAsia="Gentium" w:cs="Gentium"/>
          <w:sz w:val="24"/>
          <w:szCs w:val="24"/>
        </w:rPr>
        <w:t xml:space="preserve">cf: </w:t>
      </w:r>
      <w:r>
        <w:rPr>
          <w:rFonts w:ascii="Gentium" w:hAnsi="Gentium" w:eastAsia="Gentium" w:cs="Gentium"/>
          <w:sz w:val="24"/>
          <w:szCs w:val="24"/>
        </w:rPr>
        <w:t xml:space="preserve">răscoale, comploturi (linşaj).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4EC58BB2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2D5F8734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Principiile </w:t>
      </w:r>
      <w:r>
        <w:rPr>
          <w:rFonts w:ascii="Gentium" w:hAnsi="Gentium" w:eastAsia="Gentium" w:cs="Gentium"/>
          <w:sz w:val="24"/>
          <w:szCs w:val="24"/>
        </w:rPr>
        <w:t xml:space="preserve">ierarhiei şi organizării bisericeşti în NT. 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7E4F1A3B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Apar două oficii: oficiul predicării</w:t>
      </w:r>
      <w:r>
        <w:rPr>
          <w:rFonts w:ascii="Gentium" w:hAnsi="Gentium" w:eastAsia="Gentium" w:cs="Gentium"/>
          <w:sz w:val="24"/>
          <w:szCs w:val="24"/>
        </w:rPr>
        <w:t xml:space="preserve">, al slujirii religioase,</w:t>
      </w:r>
      <w:r>
        <w:rPr>
          <w:rFonts w:ascii="Gentium" w:hAnsi="Gentium" w:eastAsia="Gentium" w:cs="Gentium"/>
          <w:sz w:val="24"/>
          <w:szCs w:val="24"/>
        </w:rPr>
        <w:t xml:space="preserve"> şi oficiul carităţii (diaconia), cf. Fapte 6.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146B0F8E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2BCDB583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Principiul de bază </w:t>
      </w:r>
      <w:r>
        <w:rPr>
          <w:rFonts w:ascii="Gentium" w:hAnsi="Gentium" w:eastAsia="Gentium" w:cs="Gentium"/>
          <w:sz w:val="24"/>
          <w:szCs w:val="24"/>
        </w:rPr>
        <w:t xml:space="preserve">în NT cu privire la ierarhia bisericească</w:t>
      </w:r>
      <w:r>
        <w:rPr>
          <w:rFonts w:ascii="Gentium" w:hAnsi="Gentium" w:eastAsia="Gentium" w:cs="Gentium"/>
          <w:sz w:val="24"/>
          <w:szCs w:val="24"/>
        </w:rPr>
        <w:t xml:space="preserve"> este că </w:t>
      </w:r>
      <w:r>
        <w:rPr>
          <w:rFonts w:ascii="Gentium" w:hAnsi="Gentium" w:eastAsia="Gentium" w:cs="Gentium"/>
          <w:sz w:val="24"/>
          <w:szCs w:val="24"/>
        </w:rPr>
        <w:t xml:space="preserve">oficiile se recunosc şi se acordă pe baza darurilor divine deja primite </w:t>
      </w:r>
      <w:r>
        <w:rPr>
          <w:rFonts w:ascii="Gentium" w:hAnsi="Gentium" w:eastAsia="Gentium" w:cs="Gentium"/>
          <w:sz w:val="24"/>
          <w:szCs w:val="24"/>
        </w:rPr>
        <w:t xml:space="preserve">de persoanele în cauză </w:t>
      </w:r>
      <w:r>
        <w:rPr>
          <w:rFonts w:ascii="Gentium" w:hAnsi="Gentium" w:eastAsia="Gentium" w:cs="Gentium"/>
          <w:sz w:val="24"/>
          <w:szCs w:val="24"/>
        </w:rPr>
        <w:t xml:space="preserve">şi că </w:t>
      </w:r>
      <w:r>
        <w:rPr>
          <w:rFonts w:ascii="Gentium" w:hAnsi="Gentium" w:eastAsia="Gentium" w:cs="Gentium"/>
          <w:sz w:val="24"/>
          <w:szCs w:val="24"/>
        </w:rPr>
        <w:t xml:space="preserve">aceste </w:t>
      </w:r>
      <w:r>
        <w:rPr>
          <w:rFonts w:ascii="Gentium" w:hAnsi="Gentium" w:eastAsia="Gentium" w:cs="Gentium"/>
          <w:sz w:val="24"/>
          <w:szCs w:val="24"/>
        </w:rPr>
        <w:t xml:space="preserve">sunt complementare, funcţionale (metafora Bisericii văzute ca un trup al cărui cap este Hristos)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16C34852">
      <w:pPr>
        <w:pStyle w:val="1711"/>
        <w:pBdr/>
        <w:spacing/>
        <w:ind w:firstLine="0" w:left="72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Efeseni</w:t>
      </w:r>
      <w:r>
        <w:rPr>
          <w:rFonts w:ascii="Gentium" w:hAnsi="Gentium" w:eastAsia="Gentium" w:cs="Gentium"/>
          <w:sz w:val="24"/>
          <w:szCs w:val="24"/>
        </w:rPr>
        <w:t xml:space="preserve"> 4</w:t>
      </w:r>
      <w:r>
        <w:rPr>
          <w:rFonts w:ascii="Gentium" w:hAnsi="Gentium" w:eastAsia="Gentium" w:cs="Gentium"/>
          <w:sz w:val="24"/>
          <w:szCs w:val="24"/>
        </w:rPr>
        <w:t xml:space="preserve">.11-13</w:t>
      </w:r>
      <w:r>
        <w:rPr>
          <w:rFonts w:ascii="Gentium" w:hAnsi="Gentium" w:eastAsia="Gentium" w:cs="Gentium"/>
          <w:sz w:val="24"/>
          <w:szCs w:val="24"/>
        </w:rPr>
        <w:t xml:space="preserve">,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391AA608">
      <w:pPr>
        <w:pStyle w:val="1711"/>
        <w:pBdr/>
        <w:spacing/>
        <w:ind w:firstLine="0" w:left="72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Romani</w:t>
      </w:r>
      <w:r>
        <w:rPr>
          <w:rFonts w:ascii="Gentium" w:hAnsi="Gentium" w:eastAsia="Gentium" w:cs="Gentium"/>
          <w:sz w:val="24"/>
          <w:szCs w:val="24"/>
        </w:rPr>
        <w:t xml:space="preserve"> 12</w:t>
      </w:r>
      <w:r>
        <w:rPr>
          <w:rFonts w:ascii="Gentium" w:hAnsi="Gentium" w:eastAsia="Gentium" w:cs="Gentium"/>
          <w:sz w:val="24"/>
          <w:szCs w:val="24"/>
        </w:rPr>
        <w:t xml:space="preserve">.</w:t>
      </w:r>
      <w:r>
        <w:rPr>
          <w:rFonts w:ascii="Gentium" w:hAnsi="Gentium" w:eastAsia="Gentium" w:cs="Gentium"/>
          <w:sz w:val="24"/>
          <w:szCs w:val="24"/>
        </w:rPr>
        <w:t xml:space="preserve">4-8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768CABB2">
      <w:pPr>
        <w:pStyle w:val="1711"/>
        <w:pBdr/>
        <w:spacing/>
        <w:ind w:firstLine="0" w:left="72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1 Corinteni </w:t>
      </w:r>
      <w:r>
        <w:rPr>
          <w:rFonts w:ascii="Gentium" w:hAnsi="Gentium" w:eastAsia="Gentium" w:cs="Gentium"/>
          <w:sz w:val="24"/>
          <w:szCs w:val="24"/>
        </w:rPr>
        <w:t xml:space="preserve">12.28 (cf. 12.12-28, metafora trupului)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78B3BB6E">
      <w:pPr>
        <w:pStyle w:val="1711"/>
        <w:pBdr/>
        <w:spacing/>
        <w:ind w:firstLine="0" w:left="72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1-2 Timotei, Tit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6EFE14C1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4CD518B5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Termenii ierarhici din NT (pastor, diacon, episcop, prezbiter, preot, au primit în timp diverse şi noi conţinuturi, </w:t>
      </w:r>
      <w:r>
        <w:rPr>
          <w:rFonts w:ascii="Gentium" w:hAnsi="Gentium" w:eastAsia="Gentium" w:cs="Gentium"/>
          <w:sz w:val="24"/>
          <w:szCs w:val="24"/>
        </w:rPr>
        <w:t xml:space="preserve">specifice, </w:t>
      </w:r>
      <w:r>
        <w:rPr>
          <w:rFonts w:ascii="Gentium" w:hAnsi="Gentium" w:eastAsia="Gentium" w:cs="Gentium"/>
          <w:sz w:val="24"/>
          <w:szCs w:val="24"/>
        </w:rPr>
        <w:t xml:space="preserve">astfel încât, în prezent slujirile bisericeşti cu acest nume nu mai acoperă decât al modul general, principial, conţinutul slujbelor de atunci. Exemplu: episcop = supraveghetor, supervizor al vieţii spirituale.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4CC695DD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734F3FE6">
      <w:pPr>
        <w:pStyle w:val="1714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  <w:lang w:val="en-US"/>
        </w:rPr>
        <w:t xml:space="preserve">7</w:t>
      </w:r>
      <w:bookmarkStart w:id="64" w:name="_Toc252991868"/>
      <w:r>
        <w:rPr>
          <w:rFonts w:ascii="Gentium" w:hAnsi="Gentium" w:eastAsia="Gentium" w:cs="Gentium"/>
          <w:sz w:val="24"/>
          <w:szCs w:val="24"/>
          <w:lang w:val="ro-RO"/>
        </w:rPr>
        <w:t xml:space="preserve">.</w:t>
      </w:r>
      <w:r>
        <w:rPr>
          <w:rFonts w:ascii="Gentium" w:hAnsi="Gentium" w:eastAsia="Gentium" w:cs="Gentium"/>
          <w:sz w:val="24"/>
          <w:szCs w:val="24"/>
          <w:lang w:val="ro-RO"/>
        </w:rPr>
        <w:t xml:space="preserve">2 Relaţii sociale la nivel macrosocial</w:t>
      </w:r>
      <w:bookmarkEnd w:id="64"/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508758DE">
      <w:pPr>
        <w:pStyle w:val="1715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  <w:lang w:val="ro-RO"/>
        </w:rPr>
        <w:t xml:space="preserve">Tema persecuţiei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0D4E705D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Luca-Fapte şi persecuţia; 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222672FF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Pavel şi persecuţia; Pavel şi viaţa în imperiu: 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42D766DB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10F35CE0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Petru şi mărturia creştinilor în societate (relaţia creştini – imperiu): 1 Petru 3.15; 1 Petru 2.11ff; Romani 13.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13AD3083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77042AE8">
      <w:pPr>
        <w:pStyle w:val="1715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  <w:lang w:val="ro-RO"/>
        </w:rPr>
        <w:t xml:space="preserve">Tema mişcărilor sociale şi mesianice</w:t>
      </w:r>
      <w:r>
        <w:rPr>
          <w:rFonts w:ascii="Gentium" w:hAnsi="Gentium" w:eastAsia="Gentium" w:cs="Gentium"/>
          <w:sz w:val="24"/>
          <w:szCs w:val="24"/>
          <w:lang w:val="ro-RO"/>
        </w:rPr>
        <w:t xml:space="preserve"> 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46208145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(cf. Faptele Apostolilor)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4F4C06FC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Fapte 5.33-40, Gamaliel, Teuda şi revoluţia creştină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383CD862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Fapte 16.19-22, Sila şi Pavel, la Filipi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32F89A8B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Fapte 19.23-32, Pavel la Efes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6AA011C0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Ioan 11.46-56, Isus acuzat de revoltă, arestarea lui Isus, Ioan 18, Matei 26.47-56; Marcu 14.43-52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38D65BC1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Luca 22.1-7, trădarea lui Iuda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07D9CFAB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Luca 23.1-25, judecata lui Isus la Pilat, acuzaţia de revoltă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6DDDC13F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Matei 26.58-75, 27.11-32; Marcu 14.53-72, Pilat: Marcu 15.1-22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08D0497E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Marcu 12.12, cautau să-l prindă pe Isus.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71BBA129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5BAB6E45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Isus este un conducător carismatic, religios, dar şi politic.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11B3CA77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El este perceput de marii preoţi ca un „înşelător” care poate manipula masele  - el şi ucenicii săi. 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725B9C70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185362F7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Cu Pilat el discută subiecte politice şi recunoaşte că este împărat.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1EA55EE9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30321C6D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Cu marii preoţi, la judecată, discută subiecte teologice şi recunoaşte că este Fiul lui Dumnezeu şi Fiul Omului.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56B0D0F0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318B31AE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Cu Irod refuză să stea de vorbă.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5EDA0473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28650A8E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Isus este perceput ca o ameninţare pentru popor şi Caiafa vrea să îl elimine „ca să supravieţuiască poporul”.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231560AB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010CF314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Isus şi-a conceput mişcarea ca pe o mişcare revoluţionară: oamenii din echipa de apostoli erau 12 la număr (n</w:t>
      </w:r>
      <w:r>
        <w:rPr>
          <w:rFonts w:ascii="Gentium" w:hAnsi="Gentium" w:eastAsia="Gentium" w:cs="Gentium"/>
          <w:sz w:val="24"/>
          <w:szCs w:val="24"/>
        </w:rPr>
        <w:t xml:space="preserve">umăr revoluţionar, corespunzător celor 12 seminţii din Israel), aveau o formaţie diferită şi nu foarte paşnică (Simon zelotul, Ioan şi Iacov – fiii tunetului, Boanerghes, care au vrut să coboare foc din cer peste nişte samariteni care i-au refuzat lui Isus</w:t>
      </w:r>
      <w:r>
        <w:rPr>
          <w:rFonts w:ascii="Gentium" w:hAnsi="Gentium" w:eastAsia="Gentium" w:cs="Gentium"/>
          <w:sz w:val="24"/>
          <w:szCs w:val="24"/>
        </w:rPr>
        <w:t xml:space="preserve"> intrarea în satul lor; Petru – care </w:t>
      </w:r>
      <w:r>
        <w:rPr>
          <w:rFonts w:ascii="Gentium" w:hAnsi="Gentium" w:eastAsia="Gentium" w:cs="Gentium"/>
          <w:sz w:val="24"/>
          <w:szCs w:val="24"/>
        </w:rPr>
        <w:t xml:space="preserve">era impulsiv</w:t>
      </w:r>
      <w:r>
        <w:rPr>
          <w:rFonts w:ascii="Gentium" w:hAnsi="Gentium" w:eastAsia="Gentium" w:cs="Gentium"/>
          <w:sz w:val="24"/>
          <w:szCs w:val="24"/>
        </w:rPr>
        <w:t xml:space="preserve">, etc.).</w:t>
      </w:r>
      <w:r>
        <w:rPr>
          <w:rFonts w:ascii="Gentium" w:hAnsi="Gentium" w:eastAsia="Gentium" w:cs="Gentium"/>
          <w:sz w:val="24"/>
          <w:szCs w:val="24"/>
        </w:rPr>
        <w:t xml:space="preserve"> Grupul celor 12 apostoli avea formatul unui guvern „în umbră”, în aşteptare. Cei 12 s-au şi certat pentru stabilirea celui care are cea mai mare autoritate. Discuţie pe Iuda, Matei, Petru, Iacov şi Ioan.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7A0AB9B0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016789F4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În timpul lucrării pământeşti</w:t>
      </w:r>
      <w:r>
        <w:rPr>
          <w:rFonts w:ascii="Gentium" w:hAnsi="Gentium" w:eastAsia="Gentium" w:cs="Gentium"/>
          <w:sz w:val="24"/>
          <w:szCs w:val="24"/>
        </w:rPr>
        <w:t xml:space="preserve">, Isus acceptat că este învăţător şi legiferator, ca Moise şi mai mare decât Moise. În ce priveşte oficiile de judecător se pare că a evitat să se substituie sistemului juridic şi nu şi-a arogat poziţia de judecător sau executor juridic (Luca</w:t>
      </w:r>
      <w:r>
        <w:rPr>
          <w:rFonts w:ascii="Gentium" w:hAnsi="Gentium" w:eastAsia="Gentium" w:cs="Gentium"/>
          <w:sz w:val="24"/>
          <w:szCs w:val="24"/>
        </w:rPr>
        <w:t xml:space="preserve"> 12.13-14</w:t>
      </w:r>
      <w:r>
        <w:rPr>
          <w:rFonts w:ascii="Gentium" w:hAnsi="Gentium" w:eastAsia="Gentium" w:cs="Gentium"/>
          <w:sz w:val="24"/>
          <w:szCs w:val="24"/>
        </w:rPr>
        <w:t xml:space="preserve">, Ioan 8)</w:t>
      </w:r>
      <w:r>
        <w:rPr>
          <w:rFonts w:ascii="Gentium" w:hAnsi="Gentium" w:eastAsia="Gentium" w:cs="Gentium"/>
          <w:sz w:val="24"/>
          <w:szCs w:val="24"/>
        </w:rPr>
        <w:t xml:space="preserve"> – deşi admite că în final el este judecătorul tuturor</w:t>
      </w:r>
      <w:r>
        <w:rPr>
          <w:rFonts w:ascii="Gentium" w:hAnsi="Gentium" w:eastAsia="Gentium" w:cs="Gentium"/>
          <w:sz w:val="24"/>
          <w:szCs w:val="24"/>
        </w:rPr>
        <w:t xml:space="preserve">. Isus a emis judecăţi morale şi nu o dată şi-a intimidat auditoriul (Luca 4; Ioan 8). În Ioan 8 a iniţiat o dezbatere morală prin care a ieşit învingător, dizolvând adunarea gata de linşaj (omorârea cu pietre a femeii adultere).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292A0DA4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0C127048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Isus </w:t>
      </w:r>
      <w:r>
        <w:rPr>
          <w:rFonts w:ascii="Gentium" w:hAnsi="Gentium" w:eastAsia="Gentium" w:cs="Gentium"/>
          <w:sz w:val="24"/>
          <w:szCs w:val="24"/>
        </w:rPr>
        <w:t xml:space="preserve">era un co</w:t>
      </w:r>
      <w:r>
        <w:rPr>
          <w:rFonts w:ascii="Gentium" w:hAnsi="Gentium" w:eastAsia="Gentium" w:cs="Gentium"/>
          <w:sz w:val="24"/>
          <w:szCs w:val="24"/>
        </w:rPr>
        <w:t xml:space="preserve">nducător radical, profund etic. Predica înnoirea relaţiilor umane şi de aici, schimbarea societăţii. Este teoreticianul mişcării de opoziţie non-violentă (tratarea paşnică a abuzului; vindecarea robului marelui preot, a cărui ureche a tăiat-o Petru, etc.).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4D1E15D0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778A1E6D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Isus este un conducător carismatic, nerăzbunător, tăcut şi ascultător de Dumnezeu, dar asertiv. </w:t>
      </w:r>
      <w:r>
        <w:rPr>
          <w:rFonts w:ascii="Gentium" w:hAnsi="Gentium" w:eastAsia="Gentium" w:cs="Gentium"/>
          <w:sz w:val="24"/>
          <w:szCs w:val="24"/>
        </w:rPr>
        <w:t xml:space="preserve"> Vezi</w:t>
      </w:r>
      <w:r>
        <w:rPr>
          <w:rFonts w:ascii="Gentium" w:hAnsi="Gentium" w:eastAsia="Gentium" w:cs="Gentium"/>
          <w:sz w:val="24"/>
          <w:szCs w:val="24"/>
        </w:rPr>
        <w:t xml:space="preserve"> Ioan 18.22-23.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19DE0646">
      <w:pPr>
        <w:pStyle w:val="1715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  <w:lang w:val="ro-RO"/>
        </w:rPr>
        <w:t xml:space="preserve">Tema proceselor</w:t>
      </w:r>
      <w:r>
        <w:rPr>
          <w:rFonts w:ascii="Gentium" w:hAnsi="Gentium" w:eastAsia="Gentium" w:cs="Gentium"/>
          <w:sz w:val="24"/>
          <w:szCs w:val="24"/>
          <w:lang w:val="ro-RO"/>
        </w:rPr>
        <w:t xml:space="preserve"> </w:t>
      </w:r>
      <w:r>
        <w:rPr>
          <w:rFonts w:ascii="Gentium" w:hAnsi="Gentium" w:eastAsia="Gentium" w:cs="Gentium"/>
          <w:sz w:val="24"/>
          <w:szCs w:val="24"/>
          <w:lang w:val="ro-RO"/>
        </w:rPr>
        <w:t xml:space="preserve">şi a tribunalului</w:t>
      </w:r>
      <w:r>
        <w:rPr>
          <w:rFonts w:ascii="Gentium" w:hAnsi="Gentium" w:eastAsia="Gentium" w:cs="Gentium"/>
          <w:sz w:val="24"/>
          <w:szCs w:val="24"/>
          <w:lang w:val="ro-RO"/>
        </w:rPr>
        <w:t xml:space="preserve"> 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10822DFD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(Luca şi Ioan</w:t>
      </w:r>
      <w:r>
        <w:rPr>
          <w:rFonts w:ascii="Gentium" w:hAnsi="Gentium" w:eastAsia="Gentium" w:cs="Gentium"/>
          <w:sz w:val="24"/>
          <w:szCs w:val="24"/>
        </w:rPr>
        <w:t xml:space="preserve">; Pavel</w:t>
      </w:r>
      <w:r>
        <w:rPr>
          <w:rFonts w:ascii="Gentium" w:hAnsi="Gentium" w:eastAsia="Gentium" w:cs="Gentium"/>
          <w:sz w:val="24"/>
          <w:szCs w:val="24"/>
        </w:rPr>
        <w:t xml:space="preserve">);</w:t>
      </w:r>
      <w:r>
        <w:rPr>
          <w:rFonts w:ascii="Gentium" w:hAnsi="Gentium" w:eastAsia="Gentium" w:cs="Gentium"/>
          <w:sz w:val="24"/>
          <w:szCs w:val="24"/>
        </w:rPr>
        <w:t xml:space="preserve"> 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44D3349B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Sinoptici-Ioan</w:t>
      </w:r>
      <w:r>
        <w:rPr>
          <w:rFonts w:ascii="Gentium" w:hAnsi="Gentium" w:eastAsia="Gentium" w:cs="Gentium"/>
          <w:sz w:val="24"/>
          <w:szCs w:val="24"/>
        </w:rPr>
        <w:t xml:space="preserve">: 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6DB79B73">
      <w:pPr>
        <w:pStyle w:val="1711"/>
        <w:pBdr/>
        <w:spacing/>
        <w:ind w:firstLine="72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Judecata lui Isus;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41AC2BD1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78363CA8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Fapte</w:t>
      </w:r>
      <w:r>
        <w:rPr>
          <w:rFonts w:ascii="Gentium" w:hAnsi="Gentium" w:eastAsia="Gentium" w:cs="Gentium"/>
          <w:sz w:val="24"/>
          <w:szCs w:val="24"/>
        </w:rPr>
        <w:t xml:space="preserve"> Apostolilor</w:t>
      </w:r>
      <w:r>
        <w:rPr>
          <w:rFonts w:ascii="Gentium" w:hAnsi="Gentium" w:eastAsia="Gentium" w:cs="Gentium"/>
          <w:sz w:val="24"/>
          <w:szCs w:val="24"/>
        </w:rPr>
        <w:t xml:space="preserve">,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3DD3E408">
      <w:pPr>
        <w:pStyle w:val="1711"/>
        <w:pBdr/>
        <w:spacing/>
        <w:ind w:firstLine="0" w:left="72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Fapte 4.1-21, Ioan şi Petru, Ierusalim</w:t>
      </w:r>
      <w:r>
        <w:rPr>
          <w:rFonts w:ascii="Gentium" w:hAnsi="Gentium" w:eastAsia="Gentium" w:cs="Gentium"/>
          <w:sz w:val="24"/>
          <w:szCs w:val="24"/>
        </w:rPr>
        <w:t xml:space="preserve"> (sinedriu)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5D0CE431">
      <w:pPr>
        <w:pStyle w:val="1711"/>
        <w:pBdr/>
        <w:spacing/>
        <w:ind w:firstLine="0" w:left="72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Fapte </w:t>
      </w:r>
      <w:r>
        <w:rPr>
          <w:rFonts w:ascii="Gentium" w:hAnsi="Gentium" w:eastAsia="Gentium" w:cs="Gentium"/>
          <w:sz w:val="24"/>
          <w:szCs w:val="24"/>
        </w:rPr>
        <w:t xml:space="preserve">6.12-7</w:t>
      </w:r>
      <w:r>
        <w:rPr>
          <w:rFonts w:ascii="Gentium" w:hAnsi="Gentium" w:eastAsia="Gentium" w:cs="Gentium"/>
          <w:sz w:val="24"/>
          <w:szCs w:val="24"/>
        </w:rPr>
        <w:t xml:space="preserve">.60, Ştefan, Ierusalim</w:t>
      </w:r>
      <w:r>
        <w:rPr>
          <w:rFonts w:ascii="Gentium" w:hAnsi="Gentium" w:eastAsia="Gentium" w:cs="Gentium"/>
          <w:sz w:val="24"/>
          <w:szCs w:val="24"/>
        </w:rPr>
        <w:t xml:space="preserve"> (sinedriu)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53230567">
      <w:pPr>
        <w:pStyle w:val="1711"/>
        <w:pBdr/>
        <w:spacing/>
        <w:ind w:firstLine="0" w:left="72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Fapte 12, 1-21, Iacov şi Petru, Ierusalim</w:t>
      </w:r>
      <w:r>
        <w:rPr>
          <w:rFonts w:ascii="Gentium" w:hAnsi="Gentium" w:eastAsia="Gentium" w:cs="Gentium"/>
          <w:sz w:val="24"/>
          <w:szCs w:val="24"/>
        </w:rPr>
        <w:t xml:space="preserve"> (Irod)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6187B8DF">
      <w:pPr>
        <w:pStyle w:val="1711"/>
        <w:pBdr/>
        <w:spacing/>
        <w:ind w:firstLine="0" w:left="72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Fapte 16.20-40, </w:t>
      </w:r>
      <w:r>
        <w:rPr>
          <w:rFonts w:ascii="Gentium" w:hAnsi="Gentium" w:eastAsia="Gentium" w:cs="Gentium"/>
          <w:sz w:val="24"/>
          <w:szCs w:val="24"/>
        </w:rPr>
        <w:t xml:space="preserve">Pavel şi Sila, Filipi (fără judecată)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4777CCEB">
      <w:pPr>
        <w:pStyle w:val="1711"/>
        <w:pBdr/>
        <w:spacing/>
        <w:ind w:firstLine="0" w:left="72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2C7C7715">
      <w:pPr>
        <w:pStyle w:val="1711"/>
        <w:pBdr/>
        <w:spacing/>
        <w:ind w:firstLine="0" w:left="72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Fapte 18.12-17</w:t>
      </w:r>
      <w:r>
        <w:rPr>
          <w:rFonts w:ascii="Gentium" w:hAnsi="Gentium" w:eastAsia="Gentium" w:cs="Gentium"/>
          <w:sz w:val="24"/>
          <w:szCs w:val="24"/>
        </w:rPr>
        <w:t xml:space="preserve">, Sosten, Corint</w:t>
      </w:r>
      <w:r>
        <w:rPr>
          <w:rFonts w:ascii="Gentium" w:hAnsi="Gentium" w:eastAsia="Gentium" w:cs="Gentium"/>
          <w:sz w:val="24"/>
          <w:szCs w:val="24"/>
        </w:rPr>
        <w:t xml:space="preserve"> (tribunal roman)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162F2CFA">
      <w:pPr>
        <w:pStyle w:val="1711"/>
        <w:pBdr/>
        <w:spacing/>
        <w:ind w:firstLine="0" w:left="72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Fapte 19.23</w:t>
      </w:r>
      <w:r>
        <w:rPr>
          <w:rFonts w:ascii="Gentium" w:hAnsi="Gentium" w:eastAsia="Gentium" w:cs="Gentium"/>
          <w:sz w:val="24"/>
          <w:szCs w:val="24"/>
        </w:rPr>
        <w:t xml:space="preserve">-41</w:t>
      </w:r>
      <w:r>
        <w:rPr>
          <w:rFonts w:ascii="Gentium" w:hAnsi="Gentium" w:eastAsia="Gentium" w:cs="Gentium"/>
          <w:sz w:val="24"/>
          <w:szCs w:val="24"/>
        </w:rPr>
        <w:t xml:space="preserve">, Pavel în Efes</w:t>
      </w:r>
      <w:r>
        <w:rPr>
          <w:rFonts w:ascii="Gentium" w:hAnsi="Gentium" w:eastAsia="Gentium" w:cs="Gentium"/>
          <w:sz w:val="24"/>
          <w:szCs w:val="24"/>
        </w:rPr>
        <w:t xml:space="preserve"> (tribunal roman)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1E752148">
      <w:pPr>
        <w:pStyle w:val="1711"/>
        <w:pBdr/>
        <w:spacing/>
        <w:ind w:firstLine="0" w:left="72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Fapte 22.24-30, Arestarea lui Pavel, Ierusalim</w:t>
      </w:r>
      <w:r>
        <w:rPr>
          <w:rFonts w:ascii="Gentium" w:hAnsi="Gentium" w:eastAsia="Gentium" w:cs="Gentium"/>
          <w:sz w:val="24"/>
          <w:szCs w:val="24"/>
        </w:rPr>
        <w:t xml:space="preserve"> (sinedriu)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539C0EB7">
      <w:pPr>
        <w:pStyle w:val="1711"/>
        <w:pBdr/>
        <w:spacing/>
        <w:ind w:firstLine="0" w:left="72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Fapte 23.1-10, Pavel, în Ierusalim (sinedriu)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0F3B2F85">
      <w:pPr>
        <w:pStyle w:val="1711"/>
        <w:pBdr/>
        <w:spacing/>
        <w:ind w:firstLine="0" w:left="72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Fapte 24.1-27</w:t>
      </w:r>
      <w:r>
        <w:rPr>
          <w:rFonts w:ascii="Gentium" w:hAnsi="Gentium" w:eastAsia="Gentium" w:cs="Gentium"/>
          <w:sz w:val="24"/>
          <w:szCs w:val="24"/>
        </w:rPr>
        <w:t xml:space="preserve"> Pavel</w:t>
      </w:r>
      <w:r>
        <w:rPr>
          <w:rFonts w:ascii="Gentium" w:hAnsi="Gentium" w:eastAsia="Gentium" w:cs="Gentium"/>
          <w:sz w:val="24"/>
          <w:szCs w:val="24"/>
        </w:rPr>
        <w:t xml:space="preserve"> la Cez</w:t>
      </w:r>
      <w:r>
        <w:rPr>
          <w:rFonts w:ascii="Gentium" w:hAnsi="Gentium" w:eastAsia="Gentium" w:cs="Gentium"/>
          <w:sz w:val="24"/>
          <w:szCs w:val="24"/>
        </w:rPr>
        <w:t xml:space="preserve">are</w:t>
      </w:r>
      <w:r>
        <w:rPr>
          <w:rFonts w:ascii="Gentium" w:hAnsi="Gentium" w:eastAsia="Gentium" w:cs="Gentium"/>
          <w:sz w:val="24"/>
          <w:szCs w:val="24"/>
        </w:rPr>
        <w:t xml:space="preserve">e</w:t>
      </w:r>
      <w:r>
        <w:rPr>
          <w:rFonts w:ascii="Gentium" w:hAnsi="Gentium" w:eastAsia="Gentium" w:cs="Gentium"/>
          <w:sz w:val="24"/>
          <w:szCs w:val="24"/>
        </w:rPr>
        <w:t xml:space="preserve">a, înaintea lui Felix</w:t>
      </w:r>
      <w:r>
        <w:rPr>
          <w:rFonts w:ascii="Gentium" w:hAnsi="Gentium" w:eastAsia="Gentium" w:cs="Gentium"/>
          <w:sz w:val="24"/>
          <w:szCs w:val="24"/>
        </w:rPr>
        <w:t xml:space="preserve"> (tribunal roman)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17731B97">
      <w:pPr>
        <w:pStyle w:val="1711"/>
        <w:pBdr/>
        <w:spacing/>
        <w:ind w:firstLine="0" w:left="72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Fapte 25.</w:t>
      </w:r>
      <w:r>
        <w:rPr>
          <w:rFonts w:ascii="Gentium" w:hAnsi="Gentium" w:eastAsia="Gentium" w:cs="Gentium"/>
          <w:sz w:val="24"/>
          <w:szCs w:val="24"/>
        </w:rPr>
        <w:t xml:space="preserve">6-26.32, Pavel, la Cezareea, înaintea lui Festus şi Agripa (tribunal roman)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62B4A5F5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4837FF7B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Epistolele pauline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03F8A952">
      <w:pPr>
        <w:pStyle w:val="1711"/>
        <w:pBdr/>
        <w:spacing/>
        <w:ind w:firstLine="0" w:left="72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1 Corinteni</w:t>
      </w:r>
      <w:r>
        <w:rPr>
          <w:rFonts w:ascii="Gentium" w:hAnsi="Gentium" w:eastAsia="Gentium" w:cs="Gentium"/>
          <w:sz w:val="24"/>
          <w:szCs w:val="24"/>
        </w:rPr>
        <w:t xml:space="preserve"> 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510BC835">
      <w:pPr>
        <w:pStyle w:val="1711"/>
        <w:pBdr/>
        <w:spacing/>
        <w:ind w:firstLine="0" w:left="72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1 Cor. 4,</w:t>
      </w:r>
      <w:r>
        <w:rPr>
          <w:rFonts w:ascii="Gentium" w:hAnsi="Gentium" w:eastAsia="Gentium" w:cs="Gentium"/>
          <w:sz w:val="24"/>
          <w:szCs w:val="24"/>
        </w:rPr>
        <w:t xml:space="preserve"> judecata de sine şi de alţii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39B2E6D6">
      <w:pPr>
        <w:pStyle w:val="1711"/>
        <w:pBdr/>
        <w:spacing/>
        <w:ind w:firstLine="0" w:left="72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1 Cor. 5.10-12; 6.1-10, judecata la tribunale păgâne; tribunalele interne)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73BEB736">
      <w:pPr>
        <w:pStyle w:val="1711"/>
        <w:pBdr/>
        <w:spacing/>
        <w:ind w:firstLine="0" w:left="72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1 Cor. 11, </w:t>
      </w:r>
      <w:r>
        <w:rPr>
          <w:rFonts w:ascii="Gentium" w:hAnsi="Gentium" w:eastAsia="Gentium" w:cs="Gentium"/>
          <w:sz w:val="24"/>
          <w:szCs w:val="24"/>
        </w:rPr>
        <w:t xml:space="preserve">cina Domnului; portul femeilor.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328757F1">
      <w:pPr>
        <w:pStyle w:val="1711"/>
        <w:pBdr/>
        <w:spacing/>
        <w:ind w:firstLine="0" w:left="72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integrarea</w:t>
      </w:r>
      <w:r>
        <w:rPr>
          <w:rFonts w:ascii="Gentium" w:hAnsi="Gentium" w:eastAsia="Gentium" w:cs="Gentium"/>
          <w:sz w:val="24"/>
          <w:szCs w:val="24"/>
        </w:rPr>
        <w:t xml:space="preserve"> </w:t>
      </w:r>
      <w:r>
        <w:rPr>
          <w:rFonts w:ascii="Gentium" w:hAnsi="Gentium" w:eastAsia="Gentium" w:cs="Gentium"/>
          <w:sz w:val="24"/>
          <w:szCs w:val="24"/>
        </w:rPr>
        <w:t xml:space="preserve">populaţiilor</w:t>
      </w:r>
      <w:r>
        <w:rPr>
          <w:rFonts w:ascii="Gentium" w:hAnsi="Gentium" w:eastAsia="Gentium" w:cs="Gentium"/>
          <w:sz w:val="24"/>
          <w:szCs w:val="24"/>
        </w:rPr>
        <w:t xml:space="preserve"> paria (samariteni; „păcătoşii”; sinopticii şi Ioan)</w:t>
      </w:r>
      <w:r>
        <w:rPr>
          <w:rFonts w:ascii="Gentium" w:hAnsi="Gentium" w:eastAsia="Gentium" w:cs="Gentium"/>
          <w:sz w:val="24"/>
          <w:szCs w:val="24"/>
        </w:rPr>
        <w:t xml:space="preserve">;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28CF79D3">
      <w:pPr>
        <w:pStyle w:val="1711"/>
        <w:pBdr/>
        <w:spacing/>
        <w:ind w:firstLine="0" w:left="72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4DC89DAF">
      <w:pPr>
        <w:pStyle w:val="1711"/>
        <w:pBdr/>
        <w:spacing/>
        <w:ind w:firstLine="0" w:left="72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Filipeni </w:t>
      </w:r>
      <w:r>
        <w:rPr>
          <w:rFonts w:ascii="Gentium" w:hAnsi="Gentium" w:eastAsia="Gentium" w:cs="Gentium"/>
          <w:sz w:val="24"/>
          <w:szCs w:val="24"/>
        </w:rPr>
        <w:t xml:space="preserve">1.12-26, judecata lui Pavel, în Roma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44D27143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2E06EB4E">
      <w:pPr>
        <w:pStyle w:val="1714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lang w:val="en-US"/>
        </w:rPr>
        <w:t xml:space="preserve">7.3 </w:t>
      </w:r>
      <w:bookmarkStart w:id="65" w:name="_Toc252991869"/>
      <w:r>
        <w:rPr>
          <w:rFonts w:ascii="Gentium" w:hAnsi="Gentium" w:eastAsia="Gentium" w:cs="Gentium"/>
          <w:sz w:val="24"/>
          <w:szCs w:val="24"/>
        </w:rPr>
        <w:t xml:space="preserve">NT şi politicile familiale</w:t>
      </w:r>
      <w:bookmarkEnd w:id="65"/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383945A5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1D365216">
      <w:pPr>
        <w:pStyle w:val="1711"/>
        <w:pBdr/>
        <w:spacing/>
        <w:ind w:firstLine="0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Familia este un factor politic activ în supravieţuirea unei societăţi. </w:t>
      </w:r>
      <w:r>
        <w:rPr>
          <w:rFonts w:ascii="Gentium" w:hAnsi="Gentium" w:eastAsia="Gentium" w:cs="Gentium"/>
          <w:sz w:val="24"/>
          <w:szCs w:val="24"/>
        </w:rPr>
        <w:t xml:space="preserve">Aici se realizează </w:t>
      </w:r>
      <w:r>
        <w:rPr>
          <w:rFonts w:ascii="Gentium" w:hAnsi="Gentium" w:eastAsia="Gentium" w:cs="Gentium"/>
          <w:sz w:val="24"/>
          <w:szCs w:val="24"/>
        </w:rPr>
        <w:t xml:space="preserve">supravieţuirea biologică şi transmiterea de valori culturale, aici se conturează iden</w:t>
      </w:r>
      <w:r>
        <w:rPr>
          <w:rFonts w:ascii="Gentium" w:hAnsi="Gentium" w:eastAsia="Gentium" w:cs="Gentium"/>
          <w:sz w:val="24"/>
          <w:szCs w:val="24"/>
        </w:rPr>
        <w:t xml:space="preserve">titatea şi principiile generaţiei următoare</w:t>
      </w:r>
      <w:r>
        <w:rPr>
          <w:rFonts w:ascii="Gentium" w:hAnsi="Gentium" w:eastAsia="Gentium" w:cs="Gentium"/>
          <w:sz w:val="24"/>
          <w:szCs w:val="24"/>
        </w:rPr>
        <w:t xml:space="preserve">.</w:t>
      </w:r>
      <w:r>
        <w:rPr>
          <w:rFonts w:ascii="Gentium" w:hAnsi="Gentium" w:eastAsia="Gentium" w:cs="Gentium"/>
          <w:sz w:val="24"/>
          <w:szCs w:val="24"/>
        </w:rPr>
        <w:t xml:space="preserve"> Familia asigură, deci materialul şi principiile </w:t>
      </w:r>
      <w:r>
        <w:rPr>
          <w:rFonts w:ascii="Gentium" w:hAnsi="Gentium" w:eastAsia="Gentium" w:cs="Gentium"/>
          <w:sz w:val="24"/>
          <w:szCs w:val="24"/>
        </w:rPr>
        <w:t xml:space="preserve">cu</w:t>
      </w:r>
      <w:r>
        <w:rPr>
          <w:rFonts w:ascii="Gentium" w:hAnsi="Gentium" w:eastAsia="Gentium" w:cs="Gentium"/>
          <w:sz w:val="24"/>
          <w:szCs w:val="24"/>
        </w:rPr>
        <w:t xml:space="preserve"> care se vor construi idealurile politice şi politicile oricărei organizaţii.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6BC21E9D"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Deşi toate so</w:t>
      </w:r>
      <w:r>
        <w:rPr>
          <w:rFonts w:ascii="Gentium" w:hAnsi="Gentium" w:eastAsia="Gentium" w:cs="Gentium"/>
          <w:sz w:val="24"/>
          <w:szCs w:val="24"/>
        </w:rPr>
        <w:t xml:space="preserve">ciet</w:t>
      </w:r>
      <w:r>
        <w:rPr>
          <w:rFonts w:ascii="Gentium" w:hAnsi="Gentium" w:eastAsia="Gentium" w:cs="Gentium"/>
          <w:sz w:val="24"/>
          <w:szCs w:val="24"/>
        </w:rPr>
        <w:t xml:space="preserve">ăţile urmăresc continuitatea</w:t>
      </w:r>
      <w:r>
        <w:rPr>
          <w:rFonts w:ascii="Gentium" w:hAnsi="Gentium" w:eastAsia="Gentium" w:cs="Gentium"/>
          <w:sz w:val="24"/>
          <w:szCs w:val="24"/>
        </w:rPr>
        <w:t xml:space="preserve">, supravieţuirea, modelele de familie sunt variate. Cel mai simplu model, care asigură funcţionalitatea de bază a reproducerii este familia monogamă, soţ-soţie-copil. Pot exista, însă, şi alte formule: familia poligamă </w:t>
      </w:r>
      <w:r>
        <w:rPr>
          <w:rFonts w:ascii="Gentium" w:hAnsi="Gentium" w:eastAsia="Gentium" w:cs="Gentium"/>
          <w:sz w:val="24"/>
          <w:szCs w:val="24"/>
        </w:rPr>
        <w:t xml:space="preserve">şi familia extinsă </w:t>
      </w:r>
      <w:r>
        <w:rPr>
          <w:rFonts w:ascii="Gentium" w:hAnsi="Gentium" w:eastAsia="Gentium" w:cs="Gentium"/>
          <w:sz w:val="24"/>
          <w:szCs w:val="24"/>
        </w:rPr>
        <w:t xml:space="preserve">(poligamia, poliandria), poligamia în serie (divorţ repetat şi</w:t>
      </w:r>
      <w:r>
        <w:rPr>
          <w:rFonts w:ascii="Gentium" w:hAnsi="Gentium" w:eastAsia="Gentium" w:cs="Gentium"/>
          <w:sz w:val="24"/>
          <w:szCs w:val="24"/>
        </w:rPr>
        <w:t xml:space="preserve"> recăsătorire), relaţii de grup </w:t>
      </w:r>
      <w:r>
        <w:rPr>
          <w:rFonts w:ascii="Gentium" w:hAnsi="Gentium" w:eastAsia="Gentium" w:cs="Gentium"/>
          <w:sz w:val="24"/>
          <w:szCs w:val="24"/>
        </w:rPr>
        <w:t xml:space="preserve">acceptate social </w:t>
      </w:r>
      <w:r>
        <w:rPr>
          <w:rFonts w:ascii="Gentium" w:hAnsi="Gentium" w:eastAsia="Gentium" w:cs="Gentium"/>
          <w:sz w:val="24"/>
          <w:szCs w:val="24"/>
        </w:rPr>
        <w:t xml:space="preserve">(cum se argumenta în Grecia că ar fi recomandate: Platon, Aristotel, Lycurg, considerau că bărbaţii şi femeile pot trăi în grupuri separate, şi se pot întâlni pentru reproducere sau intimităţi fără a angaja relaţii personale de lungă durată). </w:t>
      </w:r>
      <w:r>
        <w:rPr>
          <w:rFonts w:ascii="Gentium" w:hAnsi="Gentium" w:eastAsia="Gentium" w:cs="Gentium"/>
          <w:sz w:val="24"/>
          <w:szCs w:val="24"/>
        </w:rPr>
        <w:t xml:space="preserve">Relaţiile neacceptat social sunt privite ca abateri, ca imorale, şi devin obiectul evaluărilor politice. 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27936AA2"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Din punctul acesta de vedere, </w:t>
      </w:r>
      <w:r>
        <w:rPr>
          <w:rFonts w:ascii="Gentium" w:hAnsi="Gentium" w:eastAsia="Gentium" w:cs="Gentium"/>
          <w:sz w:val="24"/>
          <w:szCs w:val="24"/>
        </w:rPr>
        <w:t xml:space="preserve">creştinismul foloseşte </w:t>
      </w:r>
      <w:r>
        <w:rPr>
          <w:rFonts w:ascii="Gentium" w:hAnsi="Gentium" w:eastAsia="Gentium" w:cs="Gentium"/>
          <w:sz w:val="24"/>
          <w:szCs w:val="24"/>
        </w:rPr>
        <w:t xml:space="preserve">câteva principii şi modele de bază, conform moştenirii iudaice: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59C0F62B">
      <w:pPr>
        <w:pStyle w:val="1711"/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341E6994">
      <w:pPr>
        <w:pStyle w:val="1711"/>
        <w:numPr>
          <w:ilvl w:val="0"/>
          <w:numId w:val="9"/>
        </w:numPr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Modelul şi principiul creaţiei. Modelul treimic. Masculinitate şi Feminitate.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7CE95D22">
      <w:pPr>
        <w:pStyle w:val="1711"/>
        <w:numPr>
          <w:ilvl w:val="0"/>
          <w:numId w:val="9"/>
        </w:numPr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Modelul şi principiul Hristic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01817992">
      <w:pPr>
        <w:pStyle w:val="1711"/>
        <w:numPr>
          <w:ilvl w:val="0"/>
          <w:numId w:val="9"/>
        </w:numPr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Modelul şi principiul emancipării femeii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707A291A">
      <w:pPr>
        <w:pStyle w:val="1711"/>
        <w:pBdr/>
        <w:spacing/>
        <w:ind w:firstLine="0" w:left="648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Ontologic şi funcţional.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47992D6C">
      <w:pPr>
        <w:pStyle w:val="1711"/>
        <w:numPr>
          <w:ilvl w:val="0"/>
          <w:numId w:val="9"/>
        </w:numPr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Modelul şi principiul realismului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62E221AA">
      <w:pPr>
        <w:pStyle w:val="1711"/>
        <w:pBdr/>
        <w:spacing/>
        <w:ind w:firstLine="0" w:left="648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Prevederi pentru o umanitate imperfectă.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788CB9BB">
      <w:pPr>
        <w:pStyle w:val="1711"/>
        <w:numPr>
          <w:ilvl w:val="0"/>
          <w:numId w:val="9"/>
        </w:numPr>
        <w:pBdr/>
        <w:spacing/>
        <w:ind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</w:rPr>
        <w:t xml:space="preserve">Modelul şi principiul capului (autorităţii)</w:t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6F4895EA">
      <w:pPr>
        <w:pStyle w:val="1711"/>
        <w:pBdr/>
        <w:spacing/>
        <w:ind w:firstLine="0" w:left="648"/>
        <w:rPr>
          <w:rFonts w:ascii="Gentium" w:hAnsi="Gentium" w:eastAsia="Gentium" w:cs="Gentium"/>
          <w:sz w:val="24"/>
          <w:szCs w:val="24"/>
          <w:highlight w:val="none"/>
        </w:rPr>
      </w:pPr>
      <w:r>
        <w:rPr>
          <w:rFonts w:ascii="Gentium" w:hAnsi="Gentium" w:eastAsia="Gentium" w:cs="Gentium"/>
          <w:sz w:val="24"/>
          <w:szCs w:val="24"/>
        </w:rPr>
        <w:t xml:space="preserve">Principiul responsabilităţii personale faţă de divinitate.</w:t>
      </w:r>
      <w:r>
        <w:rPr>
          <w:rFonts w:ascii="Gentium" w:hAnsi="Gentium" w:cs="Gentium"/>
          <w:sz w:val="24"/>
          <w:szCs w:val="24"/>
        </w:rPr>
      </w:r>
    </w:p>
    <w:p w14:paraId="14CE07B6">
      <w:pPr>
        <w:pStyle w:val="1711"/>
        <w:pBdr/>
        <w:spacing/>
        <w:ind w:firstLine="0" w:left="648"/>
        <w:rPr>
          <w:rFonts w:ascii="Gentium" w:hAnsi="Gentium" w:cs="Gentium"/>
          <w:sz w:val="24"/>
          <w:szCs w:val="24"/>
        </w:rPr>
      </w:pP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  <w:r>
        <w:rPr>
          <w:rFonts w:ascii="Gentium" w:hAnsi="Gentium" w:cs="Gentium"/>
          <w:sz w:val="24"/>
          <w:szCs w:val="24"/>
        </w:rPr>
      </w:r>
    </w:p>
    <w:p w14:paraId="4FD21A56">
      <w:pPr>
        <w:pStyle w:val="1711"/>
        <w:pBdr/>
        <w:spacing/>
        <w:ind w:firstLine="0" w:left="648"/>
        <w:rPr>
          <w:rFonts w:ascii="Gentium" w:hAnsi="Gentium" w:cs="Gentium"/>
          <w:sz w:val="24"/>
          <w:szCs w:val="24"/>
        </w:rPr>
      </w:pPr>
      <w:r>
        <w:rPr>
          <w:rFonts w:ascii="Gentium" w:hAnsi="Gentium" w:eastAsia="Gentium" w:cs="Gentium"/>
          <w:sz w:val="24"/>
          <w:szCs w:val="24"/>
          <w:highlight w:val="none"/>
        </w:rPr>
      </w:r>
      <w:r>
        <w:rPr>
          <w:rFonts w:ascii="Gentium" w:hAnsi="Gentium" w:eastAsia="Gentium" w:cs="Gentium"/>
          <w:sz w:val="24"/>
          <w:szCs w:val="24"/>
          <w:highlight w:val="none"/>
        </w:rPr>
      </w:r>
      <w:r>
        <w:rPr>
          <w:rFonts w:ascii="Gentium" w:hAnsi="Gentium" w:eastAsia="Gentium" w:cs="Gentium"/>
          <w:sz w:val="24"/>
          <w:szCs w:val="24"/>
          <w:highlight w:val="none"/>
        </w:rPr>
      </w:r>
    </w:p>
    <w:sectPr>
      <w:headerReference w:type="default" r:id="rId9"/>
      <w:headerReference w:type="even" r:id="rId10"/>
      <w:headerReference w:type="first" r:id="rId11"/>
      <w:footnotePr>
        <w:numRestart w:val="continuous"/>
      </w:footnotePr>
      <w:endnotePr>
        <w:numFmt w:val="decimal"/>
      </w:endnotePr>
      <w:type w:val="continuous"/>
      <w:pgSz w:h="12984" w:orient="portrait" w:w="8618"/>
      <w:pgMar w:top="510" w:right="1134" w:bottom="510" w:left="1077" w:header="737" w:footer="1191" w:gutter="0"/>
      <w:pgNumType w:start="5"/>
      <w:cols w:num="1" w:sep="0" w:space="720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Cambria">
    <w:panose1 w:val="02040503050406030204"/>
  </w:font>
  <w:font w:name="Gentium">
    <w:panose1 w:val="02000503060000020004"/>
  </w:font>
  <w:font w:name="Calibri">
    <w:panose1 w:val="020F0502020204030204"/>
  </w:font>
  <w:font w:name="Times New Roman">
    <w:panose1 w:val="02020603050405020304"/>
  </w:font>
  <w:font w:name="Palatino Linotype">
    <w:panose1 w:val="02040502050505030304"/>
  </w:font>
  <w:font w:name="Tahoma">
    <w:panose1 w:val="020B0604030504040204"/>
  </w:font>
  <w:font w:name="New Century Schoolbook">
    <w:panose1 w:val="020406030507050203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  <w:footnote w:id="2">
    <w:p>
      <w:pPr>
        <w:pStyle w:val="1849"/>
        <w:pBdr/>
        <w:spacing/>
        <w:ind/>
        <w:rPr>
          <w14:ligatures w14:val="none"/>
        </w:rPr>
      </w:pPr>
      <w:r>
        <w:footnoteRef/>
      </w:r>
      <w:r>
        <w:t xml:space="preserve"> J. Boardman, Oxford History of the Classical World, p. 207.</w:t>
      </w:r>
      <w:r/>
    </w:p>
  </w:footnote>
  <w:footnote w:id="3">
    <w:p>
      <w:pPr>
        <w:pStyle w:val="1849"/>
        <w:pBdr/>
        <w:spacing/>
        <w:ind/>
        <w:rPr>
          <w14:ligatures w14:val="none"/>
        </w:rPr>
      </w:pPr>
      <w:r>
        <w:footnoteRef/>
      </w:r>
      <w:r>
        <w:t xml:space="preserve"> C.S. Keener, „Marriage”, în S.E. Porter &amp; C.A. Evans, </w:t>
      </w:r>
      <w:r>
        <w:t xml:space="preserve">Dictionary of New Testament background: A compendium of contemporary biblical scholarship</w:t>
      </w:r>
      <w:r>
        <w:t xml:space="preserve"> (electronic ed.). Downers Grove, IL: InterVarsity Press, 2000.</w:t>
      </w:r>
      <w:r/>
    </w:p>
  </w:footnote>
  <w:footnote w:id="4">
    <w:p>
      <w:pPr>
        <w:pStyle w:val="1849"/>
        <w:pBdr/>
        <w:spacing/>
        <w:ind/>
        <w:rPr>
          <w14:ligatures w14:val="none"/>
        </w:rPr>
      </w:pPr>
      <w:r>
        <w:footnoteRef/>
      </w:r>
      <w:r>
        <w:t xml:space="preserve"> Keener, „family”, DNTB.</w:t>
      </w:r>
      <w:r/>
    </w:p>
  </w:footnote>
  <w:footnote w:id="5">
    <w:p>
      <w:pPr>
        <w:pStyle w:val="1849"/>
        <w:pBdr/>
        <w:spacing/>
        <w:ind/>
        <w:rPr>
          <w14:ligatures w14:val="none"/>
        </w:rPr>
      </w:pPr>
      <w:r>
        <w:footnoteRef/>
      </w:r>
      <w:r>
        <w:t xml:space="preserve"> Boardman, </w:t>
      </w:r>
      <w:r>
        <w:t xml:space="preserve">Classical World,</w:t>
      </w:r>
      <w:r>
        <w:t xml:space="preserve"> 20.</w:t>
      </w:r>
      <w:r/>
    </w:p>
  </w:footnote>
  <w:footnote w:id="6">
    <w:p>
      <w:pPr>
        <w:pStyle w:val="1849"/>
        <w:pBdr/>
        <w:spacing/>
        <w:ind/>
        <w:rPr>
          <w14:ligatures w14:val="none"/>
        </w:rPr>
      </w:pPr>
      <w:r>
        <w:footnoteRef/>
      </w:r>
      <w:r>
        <w:t xml:space="preserve"> J.A. Harill, „slavery”, DNTB.</w:t>
      </w:r>
      <w:r/>
    </w:p>
  </w:footnote>
  <w:footnote w:id="7">
    <w:p>
      <w:pPr>
        <w:pStyle w:val="1849"/>
        <w:pBdr/>
        <w:spacing/>
        <w:ind/>
        <w:rPr>
          <w14:ligatures w14:val="none"/>
        </w:rPr>
      </w:pPr>
      <w:r>
        <w:footnoteRef/>
      </w:r>
      <w:r>
        <w:t xml:space="preserve"> Bouquet, Life, 227. 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741"/>
      <w:pBdr/>
      <w:spacing/>
      <w:ind/>
      <w:rPr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53</w:t>
    </w:r>
    <w:r>
      <w:fldChar w:fldCharType="end"/>
    </w:r>
    <w:r/>
  </w:p>
  <w:p>
    <w:pPr>
      <w:pStyle w:val="1741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741"/>
      <w:pBdr/>
      <w:spacing/>
      <w:ind/>
      <w:rPr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2</w:t>
    </w:r>
    <w:r>
      <w:fldChar w:fldCharType="end"/>
    </w:r>
    <w:r/>
  </w:p>
  <w:p>
    <w:pPr>
      <w:pStyle w:val="1741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741"/>
      <w:pBdr/>
      <w:spacing/>
      <w:ind/>
      <w:rPr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5</w:t>
    </w:r>
    <w:r>
      <w:fldChar w:fldCharType="end"/>
    </w:r>
    <w:r/>
  </w:p>
  <w:p>
    <w:pPr>
      <w:pStyle w:val="1741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3301F"/>
    <w:lvl w:ilvl="0">
      <w:isLgl w:val="false"/>
      <w:lvlJc w:val="left"/>
      <w:lvlText w:val="%1."/>
      <w:numFmt w:val="lowerRoman"/>
      <w:pPr>
        <w:pBdr/>
        <w:spacing/>
        <w:ind w:hanging="720" w:left="144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1">
    <w:nsid w:val="075BCD15"/>
    <w:lvl w:ilvl="0">
      <w:isLgl w:val="false"/>
      <w:lvlJc w:val="left"/>
      <w:lvlText w:val="%1"/>
      <w:numFmt w:val="decimal"/>
      <w:pPr>
        <w:pBdr/>
        <w:spacing/>
        <w:ind w:firstLine="0" w:left="0"/>
      </w:pPr>
      <w:rPr/>
      <w:start w:val="1"/>
      <w:suff w:val="nothing"/>
    </w:lvl>
    <w:lvl w:ilvl="1">
      <w:isLgl w:val="false"/>
      <w:lvlJc w:val="left"/>
      <w:lvlText w:val="%2"/>
      <w:numFmt w:val="decimal"/>
      <w:pPr>
        <w:pBdr/>
        <w:spacing/>
        <w:ind w:firstLine="0" w:left="0"/>
      </w:pPr>
      <w:rPr>
        <w:sz w:val="24"/>
      </w:rPr>
      <w:start w:val="1"/>
      <w:suff w:val="nothing"/>
    </w:lvl>
    <w:lvl w:ilvl="2">
      <w:isLgl w:val="false"/>
      <w:lvlJc w:val="left"/>
      <w:lvlText w:val="%2.%3"/>
      <w:numFmt w:val="decimal"/>
      <w:pPr>
        <w:pBdr/>
        <w:spacing/>
        <w:ind w:firstLine="0" w:left="0"/>
      </w:pPr>
      <w:rPr/>
      <w:start w:val="1"/>
      <w:suff w:val="nothing"/>
    </w:lvl>
    <w:lvl w:ilvl="3">
      <w:isLgl w:val="false"/>
      <w:lvlJc w:val="left"/>
      <w:lvlText w:val="%2.%3.((%4))"/>
      <w:numFmt w:val="lowerRoman"/>
      <w:pPr>
        <w:pBdr/>
        <w:spacing/>
        <w:ind w:firstLine="0" w:left="0"/>
      </w:pPr>
      <w:rPr/>
      <w:start w:val="1"/>
      <w:suff w:val="nothing"/>
    </w:lvl>
    <w:lvl w:ilvl="4">
      <w:isLgl w:val="false"/>
      <w:lvlJc w:val="left"/>
      <w:lvlText w:val="%2.%3.((%4)).(%5)"/>
      <w:numFmt w:val="lowerRoman"/>
      <w:pPr>
        <w:pBdr/>
        <w:spacing/>
        <w:ind w:firstLine="0" w:left="0"/>
      </w:pPr>
      <w:rPr/>
      <w:start w:val="1"/>
      <w:suff w:val="nothing"/>
    </w:lvl>
    <w:lvl w:ilvl="5">
      <w:isLgl w:val="false"/>
      <w:lvlJc w:val="left"/>
      <w:lvlText w:val="%6"/>
      <w:numFmt w:val="decimal"/>
      <w:pPr>
        <w:pBdr/>
        <w:spacing/>
        <w:ind w:firstLine="0" w:left="0"/>
      </w:pPr>
      <w:rPr/>
      <w:start w:val="1"/>
      <w:suff w:val="nothing"/>
    </w:lvl>
    <w:lvl w:ilvl="6">
      <w:isLgl w:val="false"/>
      <w:lvlJc w:val="left"/>
      <w:lvlText w:val="%7"/>
      <w:numFmt w:val="decimal"/>
      <w:pPr>
        <w:pBdr/>
        <w:spacing/>
        <w:ind w:firstLine="0" w:left="0"/>
      </w:pPr>
      <w:rPr/>
      <w:start w:val="1"/>
      <w:suff w:val="nothing"/>
    </w:lvl>
    <w:lvl w:ilvl="7">
      <w:isLgl w:val="false"/>
      <w:lvlJc w:val="left"/>
      <w:lvlText w:val="%8"/>
      <w:numFmt w:val="decimal"/>
      <w:pPr>
        <w:pBdr/>
        <w:spacing/>
        <w:ind w:firstLine="0" w:left="0"/>
      </w:pPr>
      <w:rPr/>
      <w:start w:val="1"/>
      <w:suff w:val="nothing"/>
    </w:lvl>
    <w:lvl w:ilvl="8">
      <w:isLgl w:val="false"/>
      <w:lvlJc w:val="left"/>
      <w:lvlText w:val="%9"/>
      <w:numFmt w:val="decimal"/>
      <w:pPr>
        <w:pBdr/>
        <w:spacing/>
        <w:ind w:firstLine="0" w:left="0"/>
      </w:pPr>
      <w:rPr/>
      <w:start w:val="1"/>
      <w:suff w:val="nothing"/>
    </w:lvl>
  </w:abstractNum>
  <w:abstractNum w:abstractNumId="2">
    <w:nsid w:val="1E2E7D51"/>
    <w:lvl w:ilvl="0">
      <w:isLgl w:val="false"/>
      <w:lvlJc w:val="left"/>
      <w:lvlText w:val="-"/>
      <w:numFmt w:val="bullet"/>
      <w:pPr>
        <w:pBdr/>
        <w:spacing/>
        <w:ind w:hanging="360" w:left="1080"/>
      </w:pPr>
      <w:rPr>
        <w:rFonts w:ascii="Times New Roman" w:hAnsi="Times New Roman" w:eastAsia="Times New Roman" w:cs="Times New Roman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ascii="Wingdings" w:hAnsi="Wingdings"/>
      </w:rPr>
      <w:start w:val="1"/>
      <w:suff w:val="tab"/>
    </w:lvl>
  </w:abstractNum>
  <w:abstractNum w:abstractNumId="3">
    <w:nsid w:val="49CB2663"/>
    <w:lvl w:ilvl="0">
      <w:isLgl w:val="false"/>
      <w:lvlJc w:val="left"/>
      <w:lvlText w:val="%1."/>
      <w:numFmt w:val="lowerLetter"/>
      <w:pPr>
        <w:pBdr/>
        <w:spacing/>
        <w:ind w:hanging="360" w:left="64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36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08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0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2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24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96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68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08"/>
      </w:pPr>
      <w:rPr/>
      <w:start w:val="1"/>
      <w:suff w:val="tab"/>
    </w:lvl>
  </w:abstractNum>
  <w:abstractNum w:abstractNumId="4">
    <w:nsid w:val="5AEE197F"/>
    <w:lvl w:ilvl="0">
      <w:isLgl w:val="false"/>
      <w:lvlJc w:val="left"/>
      <w:lvlText w:val="%1.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5">
    <w:nsid w:val="6AC26B7F"/>
    <w:lvl w:ilvl="0">
      <w:isLgl w:val="false"/>
      <w:lvlJc w:val="left"/>
      <w:lvlText w:val="%1."/>
      <w:numFmt w:val="lowerLetter"/>
      <w:pPr>
        <w:pBdr/>
        <w:spacing/>
        <w:ind w:hanging="360" w:left="64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36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08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0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2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24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96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68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08"/>
      </w:pPr>
      <w:rPr/>
      <w:start w:val="1"/>
      <w:suff w:val="tab"/>
    </w:lvl>
  </w:abstractNum>
  <w:abstractNum w:abstractNumId="6">
    <w:nsid w:val="7EDC19EE"/>
    <w:lvl w:ilvl="0">
      <w:isLgl w:val="false"/>
      <w:lvlJc w:val="left"/>
      <w:lvlText w:val="%1."/>
      <w:numFmt w:val="lowerRoman"/>
      <w:pPr>
        <w:pBdr/>
        <w:spacing/>
        <w:ind w:hanging="720" w:left="144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7">
    <w:nsid w:val="7F0E063A"/>
    <w:lvl w:ilvl="0">
      <w:isLgl w:val="false"/>
      <w:lvlJc w:val="left"/>
      <w:lvlText w:val="%1."/>
      <w:numFmt w:val="decimal"/>
      <w:pPr>
        <w:pBdr/>
        <w:spacing/>
        <w:ind w:hanging="360" w:left="108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8">
    <w:nsid w:val="49CB2663"/>
    <w:lvl w:ilvl="0">
      <w:isLgl w:val="false"/>
      <w:lvlJc w:val="left"/>
      <w:lvlText w:val="%1."/>
      <w:numFmt w:val="lowerLetter"/>
      <w:pPr>
        <w:pBdr/>
        <w:spacing/>
        <w:ind w:hanging="360" w:left="64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36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08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0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2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24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96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68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08"/>
      </w:pPr>
      <w:rPr/>
      <w:start w:val="1"/>
      <w:suff w:val="tab"/>
    </w:lvl>
  </w:abstractNum>
  <w:abstractNum w:abstractNumId="9">
    <w:nsid w:val="1E2E7D51"/>
    <w:lvl w:ilvl="0">
      <w:isLgl w:val="false"/>
      <w:lvlJc w:val="left"/>
      <w:lvlText w:val="-"/>
      <w:numFmt w:val="bullet"/>
      <w:pPr>
        <w:pBdr/>
        <w:spacing/>
        <w:ind w:hanging="360" w:left="1080"/>
      </w:pPr>
      <w:rPr>
        <w:rFonts w:ascii="Times New Roman" w:hAnsi="Times New Roman" w:eastAsia="Times New Roman" w:cs="Times New Roman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ascii="Wingdings" w:hAnsi="Wingdings"/>
      </w:rPr>
      <w:start w:val="1"/>
      <w:suff w:val="tab"/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0"/>
  </w:num>
  <w:num w:numId="5">
    <w:abstractNumId w:val="6"/>
  </w:num>
  <w:num w:numId="6">
    <w:abstractNumId w:val="4"/>
  </w:num>
  <w:num w:numId="7">
    <w:abstractNumId w:val="5"/>
  </w:num>
  <w:num w:numId="8">
    <w:abstractNumId w:val="1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 w:val="true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56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5">
    <w:name w:val="Table Grid Light"/>
    <w:basedOn w:val="156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6">
    <w:name w:val="Plain Table 1"/>
    <w:basedOn w:val="156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7">
    <w:name w:val="Plain Table 2"/>
    <w:basedOn w:val="156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8">
    <w:name w:val="Plain Table 3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9">
    <w:name w:val="Plain Table 4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0">
    <w:name w:val="Plain Table 5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1">
    <w:name w:val="Grid Table 1 Light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2">
    <w:name w:val="Grid Table 1 Light - Accent 1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3">
    <w:name w:val="Grid Table 1 Light - Accent 2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4">
    <w:name w:val="Grid Table 1 Light - Accent 3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5">
    <w:name w:val="Grid Table 1 Light - Accent 4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6">
    <w:name w:val="Grid Table 1 Light - Accent 5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7">
    <w:name w:val="Grid Table 1 Light - Accent 6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8">
    <w:name w:val="Grid Table 2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9">
    <w:name w:val="Grid Table 2 - Accent 1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0">
    <w:name w:val="Grid Table 2 - Accent 2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1">
    <w:name w:val="Grid Table 2 - Accent 3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2">
    <w:name w:val="Grid Table 2 - Accent 4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3">
    <w:name w:val="Grid Table 2 - Accent 5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4">
    <w:name w:val="Grid Table 2 - Accent 6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5">
    <w:name w:val="Grid Table 3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6">
    <w:name w:val="Grid Table 3 - Accent 1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7">
    <w:name w:val="Grid Table 3 - Accent 2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8">
    <w:name w:val="Grid Table 3 - Accent 3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9">
    <w:name w:val="Grid Table 3 - Accent 4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0">
    <w:name w:val="Grid Table 3 - Accent 5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1">
    <w:name w:val="Grid Table 3 - Accent 6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2">
    <w:name w:val="Grid Table 4"/>
    <w:basedOn w:val="156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3">
    <w:name w:val="Grid Table 4 - Accent 1"/>
    <w:basedOn w:val="156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4">
    <w:name w:val="Grid Table 4 - Accent 2"/>
    <w:basedOn w:val="156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5">
    <w:name w:val="Grid Table 4 - Accent 3"/>
    <w:basedOn w:val="156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6">
    <w:name w:val="Grid Table 4 - Accent 4"/>
    <w:basedOn w:val="156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7">
    <w:name w:val="Grid Table 4 - Accent 5"/>
    <w:basedOn w:val="156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8">
    <w:name w:val="Grid Table 4 - Accent 6"/>
    <w:basedOn w:val="156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9">
    <w:name w:val="Grid Table 5 Dark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0">
    <w:name w:val="Grid Table 5 Dark- Accent 1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1">
    <w:name w:val="Grid Table 5 Dark - Accent 2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2">
    <w:name w:val="Grid Table 5 Dark - Accent 3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3">
    <w:name w:val="Grid Table 5 Dark- Accent 4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4">
    <w:name w:val="Grid Table 5 Dark - Accent 5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5">
    <w:name w:val="Grid Table 5 Dark - Accent 6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6">
    <w:name w:val="Grid Table 6 Colorful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607">
    <w:name w:val="Grid Table 6 Colorful - Accent 1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608">
    <w:name w:val="Grid Table 6 Colorful - Accent 2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609">
    <w:name w:val="Grid Table 6 Colorful - Accent 3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610">
    <w:name w:val="Grid Table 6 Colorful - Accent 4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611">
    <w:name w:val="Grid Table 6 Colorful - Accent 5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612">
    <w:name w:val="Grid Table 6 Colorful - Accent 6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613">
    <w:name w:val="Grid Table 7 Colorful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4">
    <w:name w:val="Grid Table 7 Colorful - Accent 1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5">
    <w:name w:val="Grid Table 7 Colorful - Accent 2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6">
    <w:name w:val="Grid Table 7 Colorful - Accent 3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7">
    <w:name w:val="Grid Table 7 Colorful - Accent 4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8">
    <w:name w:val="Grid Table 7 Colorful - Accent 5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9">
    <w:name w:val="Grid Table 7 Colorful - Accent 6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20">
    <w:name w:val="List Table 1 Light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21">
    <w:name w:val="List Table 1 Light - Accent 1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22">
    <w:name w:val="List Table 1 Light - Accent 2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23">
    <w:name w:val="List Table 1 Light - Accent 3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24">
    <w:name w:val="List Table 1 Light - Accent 4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25">
    <w:name w:val="List Table 1 Light - Accent 5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26">
    <w:name w:val="List Table 1 Light - Accent 6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27">
    <w:name w:val="List Table 2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28">
    <w:name w:val="List Table 2 - Accent 1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29">
    <w:name w:val="List Table 2 - Accent 2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30">
    <w:name w:val="List Table 2 - Accent 3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31">
    <w:name w:val="List Table 2 - Accent 4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32">
    <w:name w:val="List Table 2 - Accent 5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33">
    <w:name w:val="List Table 2 - Accent 6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34">
    <w:name w:val="List Table 3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35">
    <w:name w:val="List Table 3 - Accent 1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36">
    <w:name w:val="List Table 3 - Accent 2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37">
    <w:name w:val="List Table 3 - Accent 3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38">
    <w:name w:val="List Table 3 - Accent 4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39">
    <w:name w:val="List Table 3 - Accent 5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40">
    <w:name w:val="List Table 3 - Accent 6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41">
    <w:name w:val="List Table 4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42">
    <w:name w:val="List Table 4 - Accent 1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43">
    <w:name w:val="List Table 4 - Accent 2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44">
    <w:name w:val="List Table 4 - Accent 3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45">
    <w:name w:val="List Table 4 - Accent 4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46">
    <w:name w:val="List Table 4 - Accent 5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47">
    <w:name w:val="List Table 4 - Accent 6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48">
    <w:name w:val="List Table 5 Dark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649">
    <w:name w:val="List Table 5 Dark - Accent 1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650">
    <w:name w:val="List Table 5 Dark - Accent 2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651">
    <w:name w:val="List Table 5 Dark - Accent 3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652">
    <w:name w:val="List Table 5 Dark - Accent 4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653">
    <w:name w:val="List Table 5 Dark - Accent 5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654">
    <w:name w:val="List Table 5 Dark - Accent 6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655">
    <w:name w:val="List Table 6 Colorful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56">
    <w:name w:val="List Table 6 Colorful - Accent 1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57">
    <w:name w:val="List Table 6 Colorful - Accent 2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58">
    <w:name w:val="List Table 6 Colorful - Accent 3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59">
    <w:name w:val="List Table 6 Colorful - Accent 4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60">
    <w:name w:val="List Table 6 Colorful - Accent 5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61">
    <w:name w:val="List Table 6 Colorful - Accent 6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62">
    <w:name w:val="List Table 7 Colorful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663">
    <w:name w:val="List Table 7 Colorful - Accent 1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664">
    <w:name w:val="List Table 7 Colorful - Accent 2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665">
    <w:name w:val="List Table 7 Colorful - Accent 3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666">
    <w:name w:val="List Table 7 Colorful - Accent 4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667">
    <w:name w:val="List Table 7 Colorful - Accent 5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668">
    <w:name w:val="List Table 7 Colorful - Accent 6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669">
    <w:name w:val="Lined - Accent"/>
    <w:basedOn w:val="15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70">
    <w:name w:val="Lined - Accent 1"/>
    <w:basedOn w:val="15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71">
    <w:name w:val="Lined - Accent 2"/>
    <w:basedOn w:val="15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72">
    <w:name w:val="Lined - Accent 3"/>
    <w:basedOn w:val="15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73">
    <w:name w:val="Lined - Accent 4"/>
    <w:basedOn w:val="15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74">
    <w:name w:val="Lined - Accent 5"/>
    <w:basedOn w:val="15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75">
    <w:name w:val="Lined - Accent 6"/>
    <w:basedOn w:val="15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76">
    <w:name w:val="Bordered &amp; Lined - Accent"/>
    <w:basedOn w:val="15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77">
    <w:name w:val="Bordered &amp; Lined - Accent 1"/>
    <w:basedOn w:val="15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78">
    <w:name w:val="Bordered &amp; Lined - Accent 2"/>
    <w:basedOn w:val="15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79">
    <w:name w:val="Bordered &amp; Lined - Accent 3"/>
    <w:basedOn w:val="15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80">
    <w:name w:val="Bordered &amp; Lined - Accent 4"/>
    <w:basedOn w:val="15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81">
    <w:name w:val="Bordered &amp; Lined - Accent 5"/>
    <w:basedOn w:val="15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82">
    <w:name w:val="Bordered &amp; Lined - Accent 6"/>
    <w:basedOn w:val="15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83">
    <w:name w:val="Bordered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84">
    <w:name w:val="Bordered - Accent 1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85">
    <w:name w:val="Bordered - Accent 2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86">
    <w:name w:val="Bordered - Accent 3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87">
    <w:name w:val="Bordered - Accent 4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88">
    <w:name w:val="Bordered - Accent 5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89">
    <w:name w:val="Bordered - Accent 6"/>
    <w:basedOn w:val="15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690">
    <w:name w:val="Heading 8"/>
    <w:basedOn w:val="1711"/>
    <w:next w:val="1711"/>
    <w:link w:val="1695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691">
    <w:name w:val="Heading 9"/>
    <w:basedOn w:val="1711"/>
    <w:next w:val="1711"/>
    <w:link w:val="1696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692">
    <w:name w:val="Heading 1 Char"/>
    <w:basedOn w:val="1719"/>
    <w:link w:val="171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693">
    <w:name w:val="Heading 6 Char"/>
    <w:basedOn w:val="1719"/>
    <w:link w:val="1717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694">
    <w:name w:val="Heading 7 Char"/>
    <w:basedOn w:val="1719"/>
    <w:link w:val="1718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695">
    <w:name w:val="Heading 8 Char"/>
    <w:basedOn w:val="1719"/>
    <w:link w:val="169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96">
    <w:name w:val="Heading 9 Char"/>
    <w:basedOn w:val="1719"/>
    <w:link w:val="169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97">
    <w:name w:val="Title Char"/>
    <w:basedOn w:val="1719"/>
    <w:link w:val="1733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98">
    <w:name w:val="Quote"/>
    <w:basedOn w:val="1711"/>
    <w:next w:val="1711"/>
    <w:link w:val="1699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99">
    <w:name w:val="Quote Char"/>
    <w:basedOn w:val="1719"/>
    <w:link w:val="1698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700">
    <w:name w:val="Intense Emphasis"/>
    <w:basedOn w:val="1719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701">
    <w:name w:val="Intense Quote"/>
    <w:basedOn w:val="1711"/>
    <w:next w:val="1711"/>
    <w:link w:val="1702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702">
    <w:name w:val="Intense Quote Char"/>
    <w:basedOn w:val="1719"/>
    <w:link w:val="1701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703">
    <w:name w:val="Intense Reference"/>
    <w:basedOn w:val="1719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4">
    <w:name w:val="No Spacing"/>
    <w:basedOn w:val="1711"/>
    <w:uiPriority w:val="1"/>
    <w:qFormat/>
    <w:pPr>
      <w:pBdr/>
      <w:spacing w:after="0" w:line="240" w:lineRule="auto"/>
      <w:ind/>
    </w:pPr>
  </w:style>
  <w:style w:type="character" w:styleId="1705">
    <w:name w:val="Subtle Emphasis"/>
    <w:basedOn w:val="171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06">
    <w:name w:val="Subtle Reference"/>
    <w:basedOn w:val="171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07">
    <w:name w:val="Footer Char"/>
    <w:basedOn w:val="1719"/>
    <w:link w:val="1742"/>
    <w:uiPriority w:val="99"/>
    <w:pPr>
      <w:pBdr/>
      <w:spacing/>
      <w:ind/>
    </w:pPr>
  </w:style>
  <w:style w:type="paragraph" w:styleId="1708">
    <w:name w:val="Caption"/>
    <w:basedOn w:val="1711"/>
    <w:next w:val="1711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709">
    <w:name w:val="Placeholder Text"/>
    <w:basedOn w:val="1719"/>
    <w:uiPriority w:val="99"/>
    <w:semiHidden/>
    <w:pPr>
      <w:pBdr/>
      <w:spacing/>
      <w:ind/>
    </w:pPr>
    <w:rPr>
      <w:color w:val="666666"/>
    </w:rPr>
  </w:style>
  <w:style w:type="paragraph" w:styleId="1710">
    <w:name w:val="table of figures"/>
    <w:basedOn w:val="1711"/>
    <w:next w:val="1711"/>
    <w:uiPriority w:val="99"/>
    <w:unhideWhenUsed/>
    <w:pPr>
      <w:pBdr/>
      <w:spacing w:after="0" w:afterAutospacing="0"/>
      <w:ind/>
    </w:pPr>
  </w:style>
  <w:style w:type="paragraph" w:styleId="1711" w:default="1">
    <w:name w:val="Normal"/>
    <w:next w:val="1711"/>
    <w:link w:val="1711"/>
    <w:qFormat/>
    <w:pPr>
      <w:pBdr/>
      <w:spacing w:line="240" w:lineRule="atLeast"/>
      <w:ind w:firstLine="288"/>
      <w:jc w:val="both"/>
    </w:pPr>
    <w:rPr>
      <w:rFonts w:ascii="New Century Schoolbook" w:hAnsi="New Century Schoolbook"/>
      <w:sz w:val="24"/>
      <w:szCs w:val="24"/>
      <w:lang w:val="ro-RO" w:eastAsia="ro-RO" w:bidi="ar-SA"/>
    </w:rPr>
  </w:style>
  <w:style w:type="paragraph" w:styleId="1712">
    <w:name w:val="Heading 1"/>
    <w:basedOn w:val="1711"/>
    <w:next w:val="1711"/>
    <w:link w:val="1711"/>
    <w:qFormat/>
    <w:pPr>
      <w:keepNext w:val="true"/>
      <w:pBdr/>
      <w:spacing w:after="720" w:before="840"/>
      <w:ind/>
      <w:jc w:val="center"/>
      <w:outlineLvl w:val="0"/>
    </w:pPr>
    <w:rPr>
      <w:rFonts w:ascii="New Century Schoolbook" w:hAnsi="New Century Schoolbook" w:cs="Arial"/>
      <w:b/>
      <w:bCs/>
      <w:sz w:val="44"/>
      <w:szCs w:val="44"/>
      <w:lang w:val="en-US"/>
    </w:rPr>
  </w:style>
  <w:style w:type="paragraph" w:styleId="1713">
    <w:name w:val="Heading 2"/>
    <w:basedOn w:val="1711"/>
    <w:next w:val="1711"/>
    <w:link w:val="1722"/>
    <w:qFormat/>
    <w:pPr>
      <w:keepNext w:val="true"/>
      <w:pBdr/>
      <w:spacing w:after="240" w:before="240" w:line="240" w:lineRule="exact"/>
      <w:ind/>
      <w:outlineLvl w:val="1"/>
    </w:pPr>
    <w:rPr>
      <w:rFonts w:ascii="New Century Schoolbook" w:hAnsi="New Century Schoolbook" w:cs="Arial"/>
      <w:b/>
      <w:bCs/>
    </w:rPr>
  </w:style>
  <w:style w:type="paragraph" w:styleId="1714">
    <w:name w:val="Heading 3"/>
    <w:basedOn w:val="1711"/>
    <w:next w:val="1711"/>
    <w:link w:val="1793"/>
    <w:qFormat/>
    <w:pPr>
      <w:keepNext w:val="true"/>
      <w:keepLines w:val="true"/>
      <w:pBdr/>
      <w:spacing w:after="120" w:before="240" w:line="240" w:lineRule="exact"/>
      <w:ind w:firstLine="0"/>
      <w:outlineLvl w:val="2"/>
    </w:pPr>
    <w:rPr>
      <w:rFonts w:ascii="Palatino Linotype" w:hAnsi="Palatino Linotype" w:cs="Arial"/>
      <w:b/>
      <w:lang w:val="fr-FR"/>
    </w:rPr>
  </w:style>
  <w:style w:type="paragraph" w:styleId="1715">
    <w:name w:val="Heading 4"/>
    <w:basedOn w:val="1711"/>
    <w:next w:val="1711"/>
    <w:link w:val="1723"/>
    <w:qFormat/>
    <w:pPr>
      <w:keepNext w:val="true"/>
      <w:keepLines w:val="true"/>
      <w:pBdr/>
      <w:spacing w:after="40" w:before="200"/>
      <w:ind/>
      <w:outlineLvl w:val="3"/>
    </w:pPr>
    <w:rPr>
      <w:rFonts w:ascii="New Century Schoolbook" w:hAnsi="New Century Schoolbook"/>
      <w:smallCaps/>
      <w:sz w:val="21"/>
      <w:szCs w:val="28"/>
      <w:lang w:val="fr-FR"/>
    </w:rPr>
  </w:style>
  <w:style w:type="paragraph" w:styleId="1716">
    <w:name w:val="Heading 5"/>
    <w:basedOn w:val="1711"/>
    <w:next w:val="1711"/>
    <w:link w:val="1724"/>
    <w:qFormat/>
    <w:pPr>
      <w:pBdr/>
      <w:spacing w:after="40" w:before="200"/>
      <w:ind/>
      <w:outlineLvl w:val="4"/>
    </w:pPr>
    <w:rPr>
      <w:rFonts w:ascii="New Century Schoolbook" w:hAnsi="New Century Schoolbook"/>
      <w:bCs/>
      <w:iCs/>
      <w:sz w:val="21"/>
      <w:szCs w:val="26"/>
      <w:lang w:val="en-US"/>
    </w:rPr>
  </w:style>
  <w:style w:type="paragraph" w:styleId="1717">
    <w:name w:val="Heading 6"/>
    <w:basedOn w:val="1711"/>
    <w:next w:val="1711"/>
    <w:link w:val="1711"/>
    <w:qFormat/>
    <w:pPr>
      <w:pBdr/>
      <w:spacing w:after="60" w:before="240"/>
      <w:ind/>
      <w:outlineLvl w:val="5"/>
    </w:pPr>
    <w:rPr>
      <w:b/>
      <w:bCs/>
      <w:sz w:val="22"/>
      <w:szCs w:val="22"/>
    </w:rPr>
  </w:style>
  <w:style w:type="paragraph" w:styleId="1718">
    <w:name w:val="Heading 7"/>
    <w:basedOn w:val="1711"/>
    <w:next w:val="1711"/>
    <w:link w:val="1711"/>
    <w:qFormat/>
    <w:pPr>
      <w:pBdr/>
      <w:spacing w:after="60" w:before="240"/>
      <w:ind/>
      <w:outlineLvl w:val="6"/>
    </w:pPr>
  </w:style>
  <w:style w:type="character" w:styleId="1719" w:default="1">
    <w:name w:val="Default Paragraph Font"/>
    <w:next w:val="1719"/>
    <w:link w:val="1711"/>
    <w:uiPriority w:val="1"/>
    <w:unhideWhenUsed/>
    <w:pPr>
      <w:pBdr/>
      <w:spacing/>
      <w:ind/>
    </w:pPr>
  </w:style>
  <w:style w:type="table" w:styleId="1720">
    <w:name w:val="Table Normal"/>
    <w:next w:val="1720"/>
    <w:link w:val="1711"/>
    <w:uiPriority w:val="99"/>
    <w:semiHidden/>
    <w:unhideWhenUsed/>
    <w:qFormat/>
    <w:pPr>
      <w:pBdr/>
      <w:spacing/>
      <w:ind/>
    </w:pPr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721" w:default="1">
    <w:name w:val="No List"/>
    <w:next w:val="1721"/>
    <w:link w:val="1711"/>
    <w:uiPriority w:val="99"/>
    <w:semiHidden/>
    <w:unhideWhenUsed/>
    <w:pPr>
      <w:pBdr/>
      <w:spacing/>
      <w:ind/>
    </w:pPr>
  </w:style>
  <w:style w:type="character" w:styleId="1722">
    <w:name w:val="Heading 2 Char"/>
    <w:next w:val="1722"/>
    <w:link w:val="1713"/>
    <w:pPr>
      <w:pBdr/>
      <w:spacing/>
      <w:ind/>
    </w:pPr>
    <w:rPr>
      <w:rFonts w:ascii="New Century Schoolbook" w:hAnsi="New Century Schoolbook" w:cs="Arial"/>
      <w:b/>
      <w:bCs/>
      <w:sz w:val="24"/>
      <w:szCs w:val="24"/>
      <w:lang w:val="ro-RO" w:eastAsia="ro-RO"/>
    </w:rPr>
  </w:style>
  <w:style w:type="character" w:styleId="1723">
    <w:name w:val="Heading 4 Char"/>
    <w:next w:val="1723"/>
    <w:link w:val="1715"/>
    <w:pPr>
      <w:pBdr/>
      <w:spacing/>
      <w:ind/>
    </w:pPr>
    <w:rPr>
      <w:rFonts w:ascii="New Century Schoolbook" w:hAnsi="New Century Schoolbook"/>
      <w:smallCaps/>
      <w:sz w:val="21"/>
      <w:szCs w:val="28"/>
      <w:lang w:val="fr-FR" w:eastAsia="ro-RO" w:bidi="ar-SA"/>
    </w:rPr>
  </w:style>
  <w:style w:type="character" w:styleId="1724">
    <w:name w:val="Heading 5 Char"/>
    <w:next w:val="1724"/>
    <w:link w:val="1716"/>
    <w:pPr>
      <w:pBdr/>
      <w:spacing/>
      <w:ind/>
    </w:pPr>
    <w:rPr>
      <w:rFonts w:ascii="New Century Schoolbook" w:hAnsi="New Century Schoolbook"/>
      <w:bCs/>
      <w:iCs/>
      <w:sz w:val="21"/>
      <w:szCs w:val="26"/>
      <w:lang w:val="en-US" w:eastAsia="ro-RO" w:bidi="ar-SA"/>
    </w:rPr>
  </w:style>
  <w:style w:type="paragraph" w:styleId="1725">
    <w:name w:val="NX Char"/>
    <w:next w:val="1726"/>
    <w:link w:val="1727"/>
    <w:pPr>
      <w:widowControl w:val="false"/>
      <w:pBdr/>
      <w:spacing/>
      <w:ind/>
      <w:jc w:val="left"/>
    </w:pPr>
    <w:rPr>
      <w:rFonts w:ascii="New Century Schoolbook" w:hAnsi="New Century Schoolbook"/>
      <w:sz w:val="22"/>
      <w:szCs w:val="22"/>
      <w:lang w:val="ro-RO" w:eastAsia="ro-RO" w:bidi="ar-SA"/>
    </w:rPr>
  </w:style>
  <w:style w:type="paragraph" w:styleId="1726">
    <w:name w:val="Normal Indent"/>
    <w:basedOn w:val="1711"/>
    <w:next w:val="1726"/>
    <w:link w:val="1711"/>
    <w:pPr>
      <w:pBdr/>
      <w:spacing/>
      <w:ind w:left="720"/>
    </w:pPr>
  </w:style>
  <w:style w:type="character" w:styleId="1727">
    <w:name w:val="NX Char Char"/>
    <w:next w:val="1727"/>
    <w:link w:val="1725"/>
    <w:pPr>
      <w:pBdr/>
      <w:spacing/>
      <w:ind/>
    </w:pPr>
    <w:rPr>
      <w:rFonts w:ascii="New Century Schoolbook" w:hAnsi="New Century Schoolbook"/>
      <w:sz w:val="22"/>
      <w:szCs w:val="22"/>
      <w:lang w:val="ro-RO" w:eastAsia="ro-RO" w:bidi="ar-SA"/>
    </w:rPr>
  </w:style>
  <w:style w:type="character" w:styleId="1728">
    <w:name w:val="SX"/>
    <w:next w:val="1728"/>
    <w:link w:val="1711"/>
    <w:pPr>
      <w:pBdr/>
      <w:spacing/>
      <w:ind/>
    </w:pPr>
  </w:style>
  <w:style w:type="character" w:styleId="1729">
    <w:name w:val="BX"/>
    <w:next w:val="1729"/>
    <w:link w:val="1711"/>
    <w:pPr>
      <w:pBdr/>
      <w:spacing/>
      <w:ind/>
    </w:pPr>
    <w:rPr>
      <w:sz w:val="18"/>
      <w:szCs w:val="20"/>
    </w:rPr>
  </w:style>
  <w:style w:type="paragraph" w:styleId="1730">
    <w:name w:val="Document Map"/>
    <w:basedOn w:val="1711"/>
    <w:next w:val="1730"/>
    <w:link w:val="1711"/>
    <w:pPr>
      <w:pBdr/>
      <w:shd w:val="clear" w:color="auto" w:fill="000080"/>
      <w:spacing/>
      <w:ind/>
    </w:pPr>
    <w:rPr>
      <w:rFonts w:ascii="Tahoma" w:hAnsi="Tahoma" w:cs="Tahoma"/>
    </w:rPr>
  </w:style>
  <w:style w:type="paragraph" w:styleId="1731">
    <w:name w:val="footnote text"/>
    <w:basedOn w:val="1711"/>
    <w:next w:val="1731"/>
    <w:link w:val="1785"/>
    <w:pPr>
      <w:pBdr/>
      <w:tabs>
        <w:tab w:val="left" w:leader="dot" w:pos="426"/>
      </w:tabs>
      <w:spacing w:line="220" w:lineRule="exact"/>
      <w:ind w:firstLine="0"/>
      <w:jc w:val="left"/>
    </w:pPr>
    <w:rPr>
      <w:rFonts w:ascii="New Century Schoolbook" w:hAnsi="New Century Schoolbook"/>
      <w:sz w:val="20"/>
      <w:szCs w:val="20"/>
    </w:rPr>
  </w:style>
  <w:style w:type="character" w:styleId="1732">
    <w:name w:val="footnote reference"/>
    <w:next w:val="1732"/>
    <w:link w:val="1711"/>
    <w:pPr>
      <w:pBdr/>
      <w:spacing/>
      <w:ind/>
    </w:pPr>
    <w:rPr>
      <w:vertAlign w:val="superscript"/>
    </w:rPr>
  </w:style>
  <w:style w:type="paragraph" w:styleId="1733">
    <w:name w:val="Title"/>
    <w:basedOn w:val="1711"/>
    <w:next w:val="1733"/>
    <w:link w:val="1734"/>
    <w:qFormat/>
    <w:pPr>
      <w:pBdr/>
      <w:tabs>
        <w:tab w:val="left" w:leader="none" w:pos="576"/>
        <w:tab w:val="left" w:leader="none" w:pos="1152"/>
        <w:tab w:val="left" w:leader="none" w:pos="1440"/>
      </w:tabs>
      <w:spacing/>
      <w:ind/>
      <w:jc w:val="center"/>
      <w:outlineLvl w:val="0"/>
    </w:pPr>
    <w:rPr>
      <w:sz w:val="32"/>
    </w:rPr>
  </w:style>
  <w:style w:type="character" w:styleId="1734">
    <w:name w:val="Title Char1"/>
    <w:next w:val="1734"/>
    <w:link w:val="1733"/>
    <w:pPr>
      <w:pBdr/>
      <w:spacing/>
      <w:ind/>
    </w:pPr>
    <w:rPr>
      <w:sz w:val="32"/>
      <w:szCs w:val="24"/>
      <w:lang w:val="ro-RO" w:eastAsia="ro-RO" w:bidi="ar-SA"/>
    </w:rPr>
  </w:style>
  <w:style w:type="paragraph" w:styleId="1735">
    <w:name w:val="Body Text"/>
    <w:basedOn w:val="1711"/>
    <w:next w:val="1735"/>
    <w:link w:val="1854"/>
    <w:pPr>
      <w:pBdr/>
      <w:tabs>
        <w:tab w:val="left" w:leader="none" w:pos="576"/>
        <w:tab w:val="left" w:leader="none" w:pos="1152"/>
        <w:tab w:val="left" w:leader="none" w:pos="2160"/>
      </w:tabs>
      <w:spacing/>
      <w:ind w:firstLine="288"/>
    </w:pPr>
    <w:rPr>
      <w:rFonts w:ascii="New Century Schoolbook" w:hAnsi="New Century Schoolbook"/>
    </w:rPr>
  </w:style>
  <w:style w:type="paragraph" w:styleId="1736">
    <w:name w:val="*"/>
    <w:next w:val="1736"/>
    <w:link w:val="1711"/>
    <w:pPr>
      <w:widowControl w:val="false"/>
      <w:pBdr/>
      <w:spacing/>
      <w:ind/>
    </w:pPr>
    <w:rPr>
      <w:sz w:val="24"/>
      <w:szCs w:val="24"/>
      <w:lang w:val="ro-RO" w:eastAsia="ro-RO" w:bidi="ar-SA"/>
    </w:rPr>
  </w:style>
  <w:style w:type="character" w:styleId="1737">
    <w:name w:val="BT:"/>
    <w:next w:val="1737"/>
    <w:link w:val="1711"/>
    <w:pPr>
      <w:pBdr/>
      <w:spacing/>
      <w:ind/>
    </w:pPr>
    <w:rPr>
      <w:rFonts w:ascii="Times New Roman" w:hAnsi="Times New Roman" w:cs="Times New Roman"/>
      <w:i/>
      <w:sz w:val="18"/>
      <w:szCs w:val="20"/>
    </w:rPr>
  </w:style>
  <w:style w:type="character" w:styleId="1738">
    <w:name w:val="ET:"/>
    <w:next w:val="1738"/>
    <w:link w:val="1711"/>
    <w:pPr>
      <w:pBdr/>
      <w:spacing/>
      <w:ind/>
    </w:pPr>
  </w:style>
  <w:style w:type="character" w:styleId="1739">
    <w:name w:val="ST:"/>
    <w:next w:val="1739"/>
    <w:link w:val="1711"/>
    <w:pPr>
      <w:pBdr/>
      <w:spacing/>
      <w:ind/>
    </w:pPr>
  </w:style>
  <w:style w:type="character" w:styleId="1740">
    <w:name w:val="JT:"/>
    <w:next w:val="1740"/>
    <w:link w:val="1711"/>
    <w:pPr>
      <w:pBdr/>
      <w:spacing/>
      <w:ind/>
    </w:pPr>
    <w:rPr>
      <w:i/>
      <w:iCs/>
    </w:rPr>
  </w:style>
  <w:style w:type="paragraph" w:styleId="1741">
    <w:name w:val="Header"/>
    <w:basedOn w:val="1742"/>
    <w:next w:val="1743"/>
    <w:link w:val="1744"/>
    <w:uiPriority w:val="99"/>
    <w:pPr>
      <w:pBdr/>
      <w:tabs>
        <w:tab w:val="right" w:leader="none" w:pos="6379"/>
        <w:tab w:val="clear" w:leader="none" w:pos="8640"/>
      </w:tabs>
      <w:spacing/>
      <w:ind w:right="28" w:firstLine="0"/>
      <w:jc w:val="right"/>
    </w:pPr>
    <w:rPr>
      <w:rFonts w:ascii="New Century Schoolbook" w:hAnsi="New Century Schoolbook"/>
      <w:i/>
      <w:sz w:val="20"/>
      <w:szCs w:val="20"/>
    </w:rPr>
  </w:style>
  <w:style w:type="paragraph" w:styleId="1742">
    <w:name w:val="Footer"/>
    <w:basedOn w:val="1711"/>
    <w:next w:val="1742"/>
    <w:link w:val="1711"/>
    <w:pPr>
      <w:pBdr/>
      <w:tabs>
        <w:tab w:val="center" w:leader="none" w:pos="4320"/>
        <w:tab w:val="right" w:leader="none" w:pos="8640"/>
      </w:tabs>
      <w:spacing/>
      <w:ind/>
    </w:pPr>
  </w:style>
  <w:style w:type="paragraph" w:styleId="1743">
    <w:name w:val="Header2"/>
    <w:basedOn w:val="1741"/>
    <w:next w:val="1743"/>
    <w:link w:val="1711"/>
    <w:pPr>
      <w:pBdr/>
      <w:tabs>
        <w:tab w:val="left" w:leader="none" w:pos="5954"/>
      </w:tabs>
      <w:spacing/>
      <w:ind/>
    </w:pPr>
    <w:rPr>
      <w:lang w:val="en-US"/>
    </w:rPr>
  </w:style>
  <w:style w:type="character" w:styleId="1744">
    <w:name w:val="Header Char"/>
    <w:next w:val="1744"/>
    <w:link w:val="1741"/>
    <w:uiPriority w:val="99"/>
    <w:pPr>
      <w:pBdr/>
      <w:spacing/>
      <w:ind/>
    </w:pPr>
    <w:rPr>
      <w:rFonts w:ascii="New Century Schoolbook" w:hAnsi="New Century Schoolbook"/>
      <w:i/>
      <w:lang w:val="ro-RO" w:eastAsia="ro-RO"/>
    </w:rPr>
  </w:style>
  <w:style w:type="paragraph" w:styleId="1745">
    <w:name w:val="HX0"/>
    <w:next w:val="1745"/>
    <w:link w:val="1711"/>
    <w:pPr>
      <w:widowControl w:val="false"/>
      <w:pBdr/>
      <w:spacing/>
      <w:ind/>
    </w:pPr>
    <w:rPr>
      <w:b/>
      <w:bCs/>
      <w:sz w:val="24"/>
      <w:szCs w:val="24"/>
      <w:lang w:val="ro-RO" w:eastAsia="ro-RO" w:bidi="ar-SA"/>
    </w:rPr>
  </w:style>
  <w:style w:type="character" w:styleId="1746">
    <w:name w:val="HX0."/>
    <w:next w:val="1746"/>
    <w:link w:val="1711"/>
    <w:pPr>
      <w:pBdr/>
      <w:spacing/>
      <w:ind/>
    </w:pPr>
  </w:style>
  <w:style w:type="character" w:styleId="1747">
    <w:name w:val="HX1."/>
    <w:next w:val="1747"/>
    <w:link w:val="1711"/>
    <w:pPr>
      <w:pBdr/>
      <w:spacing/>
      <w:ind/>
    </w:pPr>
  </w:style>
  <w:style w:type="character" w:styleId="1748">
    <w:name w:val="HX2."/>
    <w:next w:val="1748"/>
    <w:link w:val="1711"/>
    <w:pPr>
      <w:pBdr/>
      <w:spacing/>
      <w:ind/>
    </w:pPr>
  </w:style>
  <w:style w:type="character" w:styleId="1749">
    <w:name w:val="HX3."/>
    <w:next w:val="1749"/>
    <w:link w:val="1711"/>
    <w:pPr>
      <w:pBdr/>
      <w:spacing/>
      <w:ind/>
    </w:pPr>
  </w:style>
  <w:style w:type="character" w:styleId="1750">
    <w:name w:val="HX4."/>
    <w:next w:val="1750"/>
    <w:link w:val="1711"/>
    <w:pPr>
      <w:pBdr/>
      <w:spacing/>
      <w:ind/>
    </w:pPr>
  </w:style>
  <w:style w:type="character" w:styleId="1751">
    <w:name w:val="HX5."/>
    <w:next w:val="1751"/>
    <w:link w:val="1711"/>
    <w:pPr>
      <w:pBdr/>
      <w:spacing/>
      <w:ind/>
    </w:pPr>
  </w:style>
  <w:style w:type="character" w:styleId="1752">
    <w:name w:val="EX0"/>
    <w:next w:val="1752"/>
    <w:link w:val="1711"/>
    <w:pPr>
      <w:pBdr/>
      <w:spacing/>
      <w:ind/>
    </w:pPr>
  </w:style>
  <w:style w:type="character" w:styleId="1753">
    <w:name w:val="EX1"/>
    <w:next w:val="1753"/>
    <w:link w:val="1711"/>
    <w:pPr>
      <w:pBdr/>
      <w:spacing/>
      <w:ind/>
    </w:pPr>
  </w:style>
  <w:style w:type="character" w:styleId="1754">
    <w:name w:val="EX2"/>
    <w:next w:val="1754"/>
    <w:link w:val="1711"/>
    <w:pPr>
      <w:pBdr/>
      <w:spacing/>
      <w:ind/>
    </w:pPr>
  </w:style>
  <w:style w:type="character" w:styleId="1755">
    <w:name w:val="EX3"/>
    <w:next w:val="1755"/>
    <w:link w:val="1711"/>
    <w:pPr>
      <w:pBdr/>
      <w:spacing/>
      <w:ind/>
    </w:pPr>
  </w:style>
  <w:style w:type="character" w:styleId="1756">
    <w:name w:val="EX4"/>
    <w:next w:val="1756"/>
    <w:link w:val="1711"/>
    <w:pPr>
      <w:pBdr/>
      <w:spacing/>
      <w:ind/>
    </w:pPr>
  </w:style>
  <w:style w:type="character" w:styleId="1757">
    <w:name w:val="EX5"/>
    <w:next w:val="1757"/>
    <w:link w:val="1711"/>
    <w:pPr>
      <w:pBdr/>
      <w:spacing/>
      <w:ind/>
    </w:pPr>
  </w:style>
  <w:style w:type="character" w:styleId="1758">
    <w:name w:val="Page Number"/>
    <w:next w:val="1758"/>
    <w:link w:val="1711"/>
    <w:pPr>
      <w:pBdr/>
      <w:spacing/>
      <w:ind/>
    </w:pPr>
    <w:rPr>
      <w:rFonts w:ascii="New Century Schoolbook" w:hAnsi="New Century Schoolbook"/>
      <w:sz w:val="18"/>
    </w:rPr>
  </w:style>
  <w:style w:type="paragraph" w:styleId="1759">
    <w:name w:val="ch. head"/>
    <w:basedOn w:val="1733"/>
    <w:next w:val="1711"/>
    <w:link w:val="1760"/>
    <w:pPr>
      <w:pBdr/>
      <w:spacing/>
      <w:ind/>
    </w:pPr>
    <w:rPr>
      <w:rFonts w:ascii="New Century Schoolbook" w:hAnsi="New Century Schoolbook"/>
      <w:b/>
      <w:smallCaps/>
      <w:sz w:val="24"/>
    </w:rPr>
  </w:style>
  <w:style w:type="character" w:styleId="1760">
    <w:name w:val="ch. head Char"/>
    <w:next w:val="1760"/>
    <w:link w:val="1759"/>
    <w:pPr>
      <w:pBdr/>
      <w:spacing/>
      <w:ind/>
    </w:pPr>
    <w:rPr>
      <w:rFonts w:ascii="New Century Schoolbook" w:hAnsi="New Century Schoolbook"/>
      <w:b/>
      <w:smallCaps/>
      <w:sz w:val="24"/>
      <w:szCs w:val="24"/>
      <w:lang w:val="ro-RO" w:eastAsia="ro-RO" w:bidi="ar-SA"/>
    </w:rPr>
  </w:style>
  <w:style w:type="paragraph" w:styleId="1761">
    <w:name w:val="Style Justified"/>
    <w:basedOn w:val="1711"/>
    <w:next w:val="1761"/>
    <w:link w:val="1797"/>
    <w:pPr>
      <w:pBdr/>
      <w:spacing w:line="240" w:lineRule="exact"/>
      <w:ind w:firstLine="57"/>
    </w:pPr>
    <w:rPr>
      <w:rFonts w:ascii="New Century Schoolbook" w:hAnsi="New Century Schoolbook"/>
      <w:sz w:val="22"/>
      <w:szCs w:val="22"/>
    </w:rPr>
  </w:style>
  <w:style w:type="paragraph" w:styleId="1762">
    <w:name w:val="Index 1"/>
    <w:basedOn w:val="1711"/>
    <w:next w:val="1711"/>
    <w:link w:val="1711"/>
    <w:uiPriority w:val="99"/>
    <w:pPr>
      <w:pBdr/>
      <w:spacing/>
      <w:ind w:hanging="240" w:left="240"/>
      <w:jc w:val="left"/>
    </w:pPr>
    <w:rPr>
      <w:rFonts w:ascii="Calibri" w:hAnsi="Calibri"/>
      <w:sz w:val="18"/>
      <w:szCs w:val="18"/>
    </w:rPr>
  </w:style>
  <w:style w:type="paragraph" w:styleId="1763">
    <w:name w:val="Index 2"/>
    <w:basedOn w:val="1711"/>
    <w:next w:val="1711"/>
    <w:link w:val="1711"/>
    <w:uiPriority w:val="99"/>
    <w:pPr>
      <w:pBdr/>
      <w:spacing/>
      <w:ind w:hanging="240" w:left="480"/>
      <w:jc w:val="left"/>
    </w:pPr>
    <w:rPr>
      <w:rFonts w:ascii="Calibri" w:hAnsi="Calibri"/>
      <w:sz w:val="18"/>
      <w:szCs w:val="18"/>
    </w:rPr>
  </w:style>
  <w:style w:type="paragraph" w:styleId="1764">
    <w:name w:val="Index 3"/>
    <w:basedOn w:val="1711"/>
    <w:next w:val="1711"/>
    <w:link w:val="1711"/>
    <w:pPr>
      <w:pBdr/>
      <w:spacing/>
      <w:ind w:hanging="240" w:left="720"/>
      <w:jc w:val="left"/>
    </w:pPr>
    <w:rPr>
      <w:rFonts w:ascii="Calibri" w:hAnsi="Calibri"/>
      <w:sz w:val="18"/>
      <w:szCs w:val="18"/>
    </w:rPr>
  </w:style>
  <w:style w:type="paragraph" w:styleId="1765">
    <w:name w:val="Index 4"/>
    <w:basedOn w:val="1711"/>
    <w:next w:val="1711"/>
    <w:link w:val="1711"/>
    <w:pPr>
      <w:pBdr/>
      <w:spacing/>
      <w:ind w:hanging="240" w:left="960"/>
      <w:jc w:val="left"/>
    </w:pPr>
    <w:rPr>
      <w:rFonts w:ascii="Calibri" w:hAnsi="Calibri"/>
      <w:sz w:val="18"/>
      <w:szCs w:val="18"/>
    </w:rPr>
  </w:style>
  <w:style w:type="paragraph" w:styleId="1766">
    <w:name w:val="Index 5"/>
    <w:basedOn w:val="1711"/>
    <w:next w:val="1711"/>
    <w:link w:val="1711"/>
    <w:pPr>
      <w:pBdr/>
      <w:spacing/>
      <w:ind w:hanging="240" w:left="1200"/>
      <w:jc w:val="left"/>
    </w:pPr>
    <w:rPr>
      <w:rFonts w:ascii="Calibri" w:hAnsi="Calibri"/>
      <w:sz w:val="18"/>
      <w:szCs w:val="18"/>
    </w:rPr>
  </w:style>
  <w:style w:type="paragraph" w:styleId="1767">
    <w:name w:val="Index 6"/>
    <w:basedOn w:val="1711"/>
    <w:next w:val="1711"/>
    <w:link w:val="1711"/>
    <w:pPr>
      <w:pBdr/>
      <w:spacing/>
      <w:ind w:hanging="240" w:left="1440"/>
      <w:jc w:val="left"/>
    </w:pPr>
    <w:rPr>
      <w:rFonts w:ascii="Calibri" w:hAnsi="Calibri"/>
      <w:sz w:val="18"/>
      <w:szCs w:val="18"/>
    </w:rPr>
  </w:style>
  <w:style w:type="paragraph" w:styleId="1768">
    <w:name w:val="Index 7"/>
    <w:basedOn w:val="1711"/>
    <w:next w:val="1711"/>
    <w:link w:val="1711"/>
    <w:pPr>
      <w:pBdr/>
      <w:spacing/>
      <w:ind w:hanging="240" w:left="1680"/>
      <w:jc w:val="left"/>
    </w:pPr>
    <w:rPr>
      <w:rFonts w:ascii="Calibri" w:hAnsi="Calibri"/>
      <w:sz w:val="18"/>
      <w:szCs w:val="18"/>
    </w:rPr>
  </w:style>
  <w:style w:type="paragraph" w:styleId="1769">
    <w:name w:val="TOA Heading"/>
    <w:basedOn w:val="1711"/>
    <w:next w:val="1711"/>
    <w:link w:val="1711"/>
    <w:pPr>
      <w:pBdr/>
      <w:spacing w:before="120"/>
      <w:ind/>
    </w:pPr>
    <w:rPr>
      <w:rFonts w:ascii="Arial" w:hAnsi="Arial" w:cs="Arial"/>
      <w:b/>
      <w:bCs/>
    </w:rPr>
  </w:style>
  <w:style w:type="paragraph" w:styleId="1770">
    <w:name w:val="toc 1"/>
    <w:basedOn w:val="1711"/>
    <w:next w:val="1711"/>
    <w:link w:val="1711"/>
    <w:uiPriority w:val="39"/>
    <w:pPr>
      <w:pBdr/>
      <w:tabs>
        <w:tab w:val="right" w:leader="dot" w:pos="6397"/>
      </w:tabs>
      <w:spacing w:after="120" w:before="120"/>
      <w:ind w:firstLine="0"/>
    </w:pPr>
    <w:rPr>
      <w:b/>
      <w:bCs/>
      <w:caps/>
      <w:sz w:val="20"/>
    </w:rPr>
  </w:style>
  <w:style w:type="paragraph" w:styleId="1771">
    <w:name w:val="toc 2"/>
    <w:basedOn w:val="1711"/>
    <w:next w:val="1711"/>
    <w:link w:val="1711"/>
    <w:uiPriority w:val="39"/>
    <w:pPr>
      <w:pBdr/>
      <w:spacing/>
      <w:ind w:left="240"/>
    </w:pPr>
    <w:rPr>
      <w:smallCaps/>
      <w:sz w:val="20"/>
    </w:rPr>
  </w:style>
  <w:style w:type="paragraph" w:styleId="1772">
    <w:name w:val="toc 3"/>
    <w:basedOn w:val="1711"/>
    <w:next w:val="1711"/>
    <w:link w:val="1711"/>
    <w:uiPriority w:val="39"/>
    <w:pPr>
      <w:pBdr/>
      <w:spacing/>
      <w:ind w:left="480"/>
    </w:pPr>
    <w:rPr>
      <w:i/>
      <w:iCs/>
      <w:sz w:val="20"/>
    </w:rPr>
  </w:style>
  <w:style w:type="paragraph" w:styleId="1773">
    <w:name w:val="toc 4"/>
    <w:basedOn w:val="1711"/>
    <w:next w:val="1711"/>
    <w:link w:val="1711"/>
    <w:pPr>
      <w:pBdr/>
      <w:spacing/>
      <w:ind w:left="720"/>
    </w:pPr>
    <w:rPr>
      <w:sz w:val="18"/>
      <w:szCs w:val="21"/>
    </w:rPr>
  </w:style>
  <w:style w:type="paragraph" w:styleId="1774">
    <w:name w:val="toc 5"/>
    <w:basedOn w:val="1711"/>
    <w:next w:val="1711"/>
    <w:link w:val="1711"/>
    <w:pPr>
      <w:pBdr/>
      <w:spacing/>
      <w:ind w:left="960"/>
    </w:pPr>
    <w:rPr>
      <w:sz w:val="18"/>
      <w:szCs w:val="21"/>
    </w:rPr>
  </w:style>
  <w:style w:type="paragraph" w:styleId="1775">
    <w:name w:val="toc 6"/>
    <w:basedOn w:val="1711"/>
    <w:next w:val="1711"/>
    <w:link w:val="1711"/>
    <w:pPr>
      <w:pBdr/>
      <w:spacing/>
      <w:ind w:left="1200"/>
    </w:pPr>
    <w:rPr>
      <w:sz w:val="18"/>
      <w:szCs w:val="21"/>
    </w:rPr>
  </w:style>
  <w:style w:type="paragraph" w:styleId="1776">
    <w:name w:val="toc 7"/>
    <w:basedOn w:val="1711"/>
    <w:next w:val="1711"/>
    <w:link w:val="1711"/>
    <w:pPr>
      <w:pBdr/>
      <w:spacing/>
      <w:ind w:left="1440"/>
    </w:pPr>
    <w:rPr>
      <w:sz w:val="18"/>
      <w:szCs w:val="21"/>
    </w:rPr>
  </w:style>
  <w:style w:type="paragraph" w:styleId="1777">
    <w:name w:val="toc 8"/>
    <w:basedOn w:val="1711"/>
    <w:next w:val="1711"/>
    <w:link w:val="1711"/>
    <w:pPr>
      <w:pBdr/>
      <w:spacing/>
      <w:ind w:left="1680"/>
    </w:pPr>
    <w:rPr>
      <w:sz w:val="18"/>
      <w:szCs w:val="21"/>
    </w:rPr>
  </w:style>
  <w:style w:type="paragraph" w:styleId="1778">
    <w:name w:val="toc 9"/>
    <w:basedOn w:val="1711"/>
    <w:next w:val="1711"/>
    <w:link w:val="1711"/>
    <w:pPr>
      <w:pBdr/>
      <w:spacing/>
      <w:ind w:left="1920"/>
    </w:pPr>
    <w:rPr>
      <w:sz w:val="18"/>
      <w:szCs w:val="21"/>
    </w:rPr>
  </w:style>
  <w:style w:type="character" w:styleId="1779">
    <w:name w:val="Line Number"/>
    <w:basedOn w:val="1719"/>
    <w:next w:val="1779"/>
    <w:link w:val="1711"/>
    <w:pPr>
      <w:pBdr/>
      <w:spacing/>
      <w:ind/>
    </w:pPr>
  </w:style>
  <w:style w:type="paragraph" w:styleId="1780">
    <w:name w:val="Style Justified First line:  4 mm char"/>
    <w:basedOn w:val="1711"/>
    <w:next w:val="1780"/>
    <w:link w:val="1781"/>
    <w:pPr>
      <w:pBdr/>
      <w:spacing w:line="220" w:lineRule="exact"/>
      <w:ind w:right="227" w:left="227"/>
    </w:pPr>
    <w:rPr>
      <w:rFonts w:ascii="New Century Schoolbook" w:hAnsi="New Century Schoolbook"/>
      <w:sz w:val="22"/>
    </w:rPr>
  </w:style>
  <w:style w:type="character" w:styleId="1781">
    <w:name w:val="Style Justified First line:  4 mm char Char"/>
    <w:next w:val="1781"/>
    <w:link w:val="1780"/>
    <w:pPr>
      <w:pBdr/>
      <w:spacing/>
      <w:ind/>
    </w:pPr>
    <w:rPr>
      <w:rFonts w:ascii="New Century Schoolbook" w:hAnsi="New Century Schoolbook"/>
      <w:sz w:val="22"/>
      <w:szCs w:val="24"/>
      <w:lang w:val="ro-RO" w:eastAsia="ro-RO" w:bidi="ar-SA"/>
    </w:rPr>
  </w:style>
  <w:style w:type="paragraph" w:styleId="1782">
    <w:name w:val="Style New Century Schoolbook Justified"/>
    <w:basedOn w:val="1711"/>
    <w:next w:val="1782"/>
    <w:link w:val="1796"/>
    <w:pPr>
      <w:pBdr/>
      <w:spacing w:line="240" w:lineRule="exact"/>
      <w:ind/>
      <w:jc w:val="left"/>
    </w:pPr>
    <w:rPr>
      <w:rFonts w:ascii="New Century Schoolbook" w:hAnsi="New Century Schoolbook"/>
      <w:sz w:val="22"/>
      <w:szCs w:val="22"/>
      <w:lang w:val="en-US"/>
    </w:rPr>
  </w:style>
  <w:style w:type="paragraph" w:styleId="1783">
    <w:name w:val="Style NX + First line:  4 mm"/>
    <w:basedOn w:val="1725"/>
    <w:next w:val="1783"/>
    <w:link w:val="1711"/>
    <w:pPr>
      <w:pBdr/>
      <w:spacing/>
      <w:ind w:firstLine="227"/>
    </w:pPr>
  </w:style>
  <w:style w:type="character" w:styleId="1784">
    <w:name w:val="Hyperlink"/>
    <w:next w:val="1784"/>
    <w:link w:val="1711"/>
    <w:uiPriority w:val="99"/>
    <w:pPr>
      <w:pBdr/>
      <w:spacing/>
      <w:ind/>
    </w:pPr>
    <w:rPr>
      <w:color w:val="0000ff"/>
      <w:u w:val="single"/>
    </w:rPr>
  </w:style>
  <w:style w:type="character" w:styleId="1785">
    <w:name w:val="Footnote Text Char"/>
    <w:next w:val="1785"/>
    <w:link w:val="1731"/>
    <w:pPr>
      <w:pBdr/>
      <w:spacing/>
      <w:ind/>
    </w:pPr>
    <w:rPr>
      <w:rFonts w:ascii="New Century Schoolbook" w:hAnsi="New Century Schoolbook"/>
      <w:lang w:val="ro-RO" w:eastAsia="ro-RO" w:bidi="ar-SA"/>
    </w:rPr>
  </w:style>
  <w:style w:type="character" w:styleId="1786">
    <w:name w:val="Comment Reference"/>
    <w:next w:val="1786"/>
    <w:link w:val="1711"/>
    <w:semiHidden/>
    <w:pPr>
      <w:pBdr/>
      <w:spacing/>
      <w:ind/>
    </w:pPr>
    <w:rPr>
      <w:sz w:val="16"/>
      <w:szCs w:val="16"/>
    </w:rPr>
  </w:style>
  <w:style w:type="paragraph" w:styleId="1787">
    <w:name w:val="Comment Text"/>
    <w:basedOn w:val="1711"/>
    <w:next w:val="1787"/>
    <w:link w:val="1711"/>
    <w:semiHidden/>
    <w:pPr>
      <w:pBdr/>
      <w:spacing/>
      <w:ind/>
    </w:pPr>
    <w:rPr>
      <w:sz w:val="20"/>
      <w:szCs w:val="20"/>
    </w:rPr>
  </w:style>
  <w:style w:type="paragraph" w:styleId="1788">
    <w:name w:val="Comment Subject"/>
    <w:basedOn w:val="1787"/>
    <w:next w:val="1787"/>
    <w:link w:val="1711"/>
    <w:semiHidden/>
    <w:pPr>
      <w:pBdr/>
      <w:spacing/>
      <w:ind/>
    </w:pPr>
    <w:rPr>
      <w:b/>
      <w:bCs/>
    </w:rPr>
  </w:style>
  <w:style w:type="paragraph" w:styleId="1789">
    <w:name w:val="Balloon Text"/>
    <w:basedOn w:val="1711"/>
    <w:next w:val="1789"/>
    <w:link w:val="1711"/>
    <w:semiHidden/>
    <w:pPr>
      <w:pBdr/>
      <w:spacing/>
      <w:ind/>
    </w:pPr>
    <w:rPr>
      <w:rFonts w:ascii="Tahoma" w:hAnsi="Tahoma" w:cs="Tahoma"/>
      <w:sz w:val="16"/>
      <w:szCs w:val="16"/>
    </w:rPr>
  </w:style>
  <w:style w:type="paragraph" w:styleId="1790">
    <w:name w:val="Index 8"/>
    <w:basedOn w:val="1711"/>
    <w:next w:val="1711"/>
    <w:link w:val="1711"/>
    <w:semiHidden/>
    <w:pPr>
      <w:pBdr/>
      <w:spacing/>
      <w:ind w:hanging="240" w:left="1920"/>
      <w:jc w:val="left"/>
    </w:pPr>
    <w:rPr>
      <w:rFonts w:ascii="Calibri" w:hAnsi="Calibri"/>
      <w:sz w:val="18"/>
      <w:szCs w:val="18"/>
    </w:rPr>
  </w:style>
  <w:style w:type="paragraph" w:styleId="1791">
    <w:name w:val="Index 9"/>
    <w:basedOn w:val="1711"/>
    <w:next w:val="1711"/>
    <w:link w:val="1711"/>
    <w:semiHidden/>
    <w:pPr>
      <w:pBdr/>
      <w:spacing/>
      <w:ind w:hanging="240" w:left="2160"/>
      <w:jc w:val="left"/>
    </w:pPr>
    <w:rPr>
      <w:rFonts w:ascii="Calibri" w:hAnsi="Calibri"/>
      <w:sz w:val="18"/>
      <w:szCs w:val="18"/>
    </w:rPr>
  </w:style>
  <w:style w:type="paragraph" w:styleId="1792">
    <w:name w:val="Index Heading"/>
    <w:basedOn w:val="1711"/>
    <w:next w:val="1762"/>
    <w:link w:val="1711"/>
    <w:uiPriority w:val="99"/>
    <w:semiHidden/>
    <w:pPr>
      <w:pBdr/>
      <w:spacing w:after="120" w:before="240"/>
      <w:ind/>
      <w:jc w:val="center"/>
    </w:pPr>
    <w:rPr>
      <w:rFonts w:ascii="Calibri" w:hAnsi="Calibri"/>
      <w:b/>
      <w:bCs/>
      <w:sz w:val="26"/>
      <w:szCs w:val="26"/>
    </w:rPr>
  </w:style>
  <w:style w:type="character" w:styleId="1793">
    <w:name w:val="Heading 3 Char1"/>
    <w:next w:val="1793"/>
    <w:link w:val="1714"/>
    <w:pPr>
      <w:pBdr/>
      <w:spacing/>
      <w:ind/>
    </w:pPr>
    <w:rPr>
      <w:rFonts w:ascii="Palatino Linotype" w:hAnsi="Palatino Linotype" w:cs="Arial"/>
      <w:b/>
      <w:sz w:val="24"/>
      <w:szCs w:val="24"/>
      <w:lang w:val="fr-FR" w:eastAsia="ro-RO" w:bidi="ar-SA"/>
    </w:rPr>
  </w:style>
  <w:style w:type="paragraph" w:styleId="1794">
    <w:name w:val="Style Justified First line:  4 mm Char Char"/>
    <w:basedOn w:val="1711"/>
    <w:next w:val="1794"/>
    <w:link w:val="1795"/>
    <w:pPr>
      <w:pBdr/>
      <w:spacing/>
      <w:ind w:firstLine="227"/>
      <w:jc w:val="left"/>
    </w:pPr>
    <w:rPr>
      <w:rFonts w:ascii="New Century Schoolbook" w:hAnsi="New Century Schoolbook"/>
      <w:sz w:val="22"/>
      <w:lang w:val="en-US"/>
    </w:rPr>
  </w:style>
  <w:style w:type="character" w:styleId="1795">
    <w:name w:val="Style Justified First line:  4 mm Char Char Char"/>
    <w:next w:val="1795"/>
    <w:link w:val="1794"/>
    <w:pPr>
      <w:pBdr/>
      <w:spacing/>
      <w:ind/>
    </w:pPr>
    <w:rPr>
      <w:rFonts w:ascii="New Century Schoolbook" w:hAnsi="New Century Schoolbook"/>
      <w:sz w:val="22"/>
      <w:szCs w:val="24"/>
      <w:lang w:val="en-US" w:eastAsia="ro-RO" w:bidi="ar-SA"/>
    </w:rPr>
  </w:style>
  <w:style w:type="character" w:styleId="1796">
    <w:name w:val="Style New Century Schoolbook Justified Char"/>
    <w:next w:val="1796"/>
    <w:link w:val="1782"/>
    <w:pPr>
      <w:pBdr/>
      <w:spacing/>
      <w:ind/>
    </w:pPr>
    <w:rPr>
      <w:rFonts w:ascii="New Century Schoolbook" w:hAnsi="New Century Schoolbook"/>
      <w:sz w:val="22"/>
      <w:szCs w:val="22"/>
      <w:lang w:val="en-US" w:eastAsia="ro-RO" w:bidi="ar-SA"/>
    </w:rPr>
  </w:style>
  <w:style w:type="character" w:styleId="1797">
    <w:name w:val="Style Justified Char"/>
    <w:next w:val="1797"/>
    <w:link w:val="1761"/>
    <w:pPr>
      <w:pBdr/>
      <w:spacing/>
      <w:ind/>
    </w:pPr>
    <w:rPr>
      <w:rFonts w:ascii="New Century Schoolbook" w:hAnsi="New Century Schoolbook"/>
      <w:sz w:val="22"/>
      <w:szCs w:val="22"/>
      <w:lang w:val="ro-RO" w:eastAsia="ro-RO" w:bidi="ar-SA"/>
    </w:rPr>
  </w:style>
  <w:style w:type="paragraph" w:styleId="1798">
    <w:name w:val="Style Heading 6 + Not Bold Italic"/>
    <w:basedOn w:val="1717"/>
    <w:next w:val="1798"/>
    <w:link w:val="1711"/>
    <w:pPr>
      <w:pBdr/>
      <w:spacing/>
      <w:ind/>
    </w:pPr>
    <w:rPr>
      <w:rFonts w:ascii="New Century Schoolbook" w:hAnsi="New Century Schoolbook"/>
      <w:b w:val="0"/>
      <w:bCs w:val="0"/>
      <w:i/>
      <w:iCs/>
    </w:rPr>
  </w:style>
  <w:style w:type="paragraph" w:styleId="1799">
    <w:name w:val="Body Text 2"/>
    <w:basedOn w:val="1711"/>
    <w:next w:val="1799"/>
    <w:link w:val="1811"/>
    <w:pPr>
      <w:pBdr/>
      <w:spacing w:after="120" w:line="480" w:lineRule="auto"/>
      <w:ind/>
    </w:pPr>
  </w:style>
  <w:style w:type="paragraph" w:styleId="1800">
    <w:name w:val="Block Text"/>
    <w:basedOn w:val="1711"/>
    <w:next w:val="1806"/>
    <w:link w:val="1711"/>
    <w:qFormat/>
    <w:pPr>
      <w:pBdr/>
      <w:spacing w:line="220" w:lineRule="atLeast"/>
      <w:ind w:right="576" w:firstLine="0" w:left="576"/>
    </w:pPr>
    <w:rPr>
      <w:sz w:val="22"/>
      <w:szCs w:val="22"/>
    </w:rPr>
  </w:style>
  <w:style w:type="paragraph" w:styleId="1801">
    <w:name w:val="Body Text Indent"/>
    <w:basedOn w:val="1711"/>
    <w:next w:val="1801"/>
    <w:link w:val="1814"/>
    <w:pPr>
      <w:pBdr/>
      <w:spacing w:after="120"/>
      <w:ind w:left="360"/>
    </w:pPr>
  </w:style>
  <w:style w:type="paragraph" w:styleId="1802">
    <w:name w:val="Body Text First Indent 2"/>
    <w:basedOn w:val="1801"/>
    <w:next w:val="1802"/>
    <w:link w:val="1853"/>
    <w:pPr>
      <w:pBdr/>
      <w:spacing/>
      <w:ind w:firstLine="210"/>
    </w:pPr>
  </w:style>
  <w:style w:type="character" w:styleId="1803">
    <w:name w:val="Strong"/>
    <w:next w:val="1803"/>
    <w:link w:val="1711"/>
    <w:qFormat/>
    <w:pPr>
      <w:pBdr/>
      <w:spacing/>
      <w:ind/>
    </w:pPr>
    <w:rPr>
      <w:b/>
      <w:bCs/>
    </w:rPr>
  </w:style>
  <w:style w:type="character" w:styleId="1804">
    <w:name w:val="Style Justified First line:  4 mm Char1"/>
    <w:next w:val="1804"/>
    <w:link w:val="1711"/>
    <w:pPr>
      <w:pBdr/>
      <w:spacing/>
      <w:ind/>
    </w:pPr>
    <w:rPr>
      <w:rFonts w:ascii="New Century Schoolbook" w:hAnsi="New Century Schoolbook"/>
      <w:sz w:val="22"/>
      <w:szCs w:val="24"/>
      <w:lang w:val="en-US" w:eastAsia="ro-RO" w:bidi="ar-SA"/>
    </w:rPr>
  </w:style>
  <w:style w:type="character" w:styleId="1805">
    <w:name w:val="Footnote Text Char1"/>
    <w:next w:val="1805"/>
    <w:link w:val="1711"/>
    <w:pPr>
      <w:pBdr/>
      <w:spacing/>
      <w:ind/>
    </w:pPr>
    <w:rPr>
      <w:rFonts w:ascii="New Century Schoolbook" w:hAnsi="New Century Schoolbook"/>
      <w:sz w:val="18"/>
      <w:lang w:val="ro-RO" w:eastAsia="ro-RO" w:bidi="ar-SA"/>
    </w:rPr>
  </w:style>
  <w:style w:type="paragraph" w:styleId="1806">
    <w:name w:val="Style Justified First line:  4 mm"/>
    <w:basedOn w:val="1711"/>
    <w:next w:val="1806"/>
    <w:link w:val="1815"/>
    <w:pPr>
      <w:pBdr/>
      <w:spacing w:line="240" w:lineRule="exact"/>
      <w:ind w:firstLine="227"/>
    </w:pPr>
    <w:rPr>
      <w:rFonts w:ascii="New Century Schoolbook" w:hAnsi="New Century Schoolbook"/>
      <w:sz w:val="22"/>
      <w:szCs w:val="22"/>
      <w:lang w:val="en-US"/>
    </w:rPr>
  </w:style>
  <w:style w:type="character" w:styleId="1807">
    <w:name w:val="Style Justified First line:  4 mm Char Char Char1"/>
    <w:next w:val="1807"/>
    <w:link w:val="1711"/>
    <w:pPr>
      <w:pBdr/>
      <w:spacing/>
      <w:ind/>
    </w:pPr>
    <w:rPr>
      <w:rFonts w:ascii="New Century Schoolbook" w:hAnsi="New Century Schoolbook"/>
      <w:sz w:val="22"/>
      <w:szCs w:val="24"/>
      <w:lang w:val="ro-RO" w:eastAsia="ro-RO" w:bidi="ar-SA"/>
    </w:rPr>
  </w:style>
  <w:style w:type="character" w:styleId="1808">
    <w:name w:val="Footnote Text Char2"/>
    <w:next w:val="1808"/>
    <w:link w:val="1711"/>
    <w:pPr>
      <w:pBdr/>
      <w:spacing/>
      <w:ind/>
    </w:pPr>
    <w:rPr>
      <w:rFonts w:ascii="New Century Schoolbook" w:hAnsi="New Century Schoolbook"/>
      <w:sz w:val="18"/>
      <w:lang w:val="ro-RO" w:eastAsia="ro-RO" w:bidi="ar-SA"/>
    </w:rPr>
  </w:style>
  <w:style w:type="paragraph" w:styleId="1809">
    <w:name w:val="Title Book"/>
    <w:basedOn w:val="1712"/>
    <w:next w:val="1809"/>
    <w:link w:val="1711"/>
    <w:pPr>
      <w:pBdr/>
      <w:spacing/>
      <w:ind/>
      <w:jc w:val="left"/>
    </w:pPr>
    <w:rPr>
      <w:sz w:val="32"/>
      <w:szCs w:val="32"/>
      <w:lang w:val="fr-FR"/>
    </w:rPr>
  </w:style>
  <w:style w:type="paragraph" w:styleId="1810">
    <w:name w:val="Title book"/>
    <w:basedOn w:val="1809"/>
    <w:next w:val="1810"/>
    <w:link w:val="1711"/>
    <w:pPr>
      <w:pBdr/>
      <w:spacing/>
      <w:ind/>
    </w:pPr>
  </w:style>
  <w:style w:type="character" w:styleId="1811">
    <w:name w:val="Body Text 2 Char"/>
    <w:next w:val="1811"/>
    <w:link w:val="1799"/>
    <w:pPr>
      <w:pBdr/>
      <w:spacing/>
      <w:ind/>
    </w:pPr>
    <w:rPr>
      <w:sz w:val="24"/>
      <w:szCs w:val="24"/>
      <w:lang w:val="ro-RO" w:eastAsia="ro-RO" w:bidi="ar-SA"/>
    </w:rPr>
  </w:style>
  <w:style w:type="paragraph" w:styleId="1812">
    <w:name w:val="Body Text 3"/>
    <w:basedOn w:val="1711"/>
    <w:next w:val="1812"/>
    <w:link w:val="1813"/>
    <w:pPr>
      <w:pBdr/>
      <w:spacing w:after="120"/>
      <w:ind/>
    </w:pPr>
    <w:rPr>
      <w:sz w:val="16"/>
      <w:szCs w:val="16"/>
    </w:rPr>
  </w:style>
  <w:style w:type="character" w:styleId="1813">
    <w:name w:val="Body Text 3 Char"/>
    <w:next w:val="1813"/>
    <w:link w:val="1812"/>
    <w:pPr>
      <w:pBdr/>
      <w:spacing/>
      <w:ind/>
    </w:pPr>
    <w:rPr>
      <w:sz w:val="16"/>
      <w:szCs w:val="16"/>
      <w:lang w:val="ro-RO" w:eastAsia="ro-RO" w:bidi="ar-SA"/>
    </w:rPr>
  </w:style>
  <w:style w:type="character" w:styleId="1814">
    <w:name w:val="Body Text Indent Char"/>
    <w:next w:val="1814"/>
    <w:link w:val="1801"/>
    <w:pPr>
      <w:pBdr/>
      <w:spacing/>
      <w:ind/>
    </w:pPr>
    <w:rPr>
      <w:sz w:val="24"/>
      <w:szCs w:val="24"/>
      <w:lang w:val="ro-RO" w:eastAsia="ro-RO" w:bidi="ar-SA"/>
    </w:rPr>
  </w:style>
  <w:style w:type="character" w:styleId="1815">
    <w:name w:val="Style Justified First line:  4 mm Char"/>
    <w:next w:val="1815"/>
    <w:link w:val="1806"/>
    <w:pPr>
      <w:pBdr/>
      <w:spacing/>
      <w:ind/>
    </w:pPr>
    <w:rPr>
      <w:rFonts w:ascii="New Century Schoolbook" w:hAnsi="New Century Schoolbook"/>
      <w:sz w:val="22"/>
      <w:szCs w:val="22"/>
      <w:lang w:val="en-US" w:eastAsia="ro-RO" w:bidi="ar-SA"/>
    </w:rPr>
  </w:style>
  <w:style w:type="character" w:styleId="1816">
    <w:name w:val="Id matter Char"/>
    <w:next w:val="1816"/>
    <w:link w:val="1818"/>
    <w:pPr>
      <w:pBdr/>
      <w:spacing/>
      <w:ind/>
    </w:pPr>
    <w:rPr>
      <w:rFonts w:ascii="New Century Schoolbook" w:hAnsi="New Century Schoolbook"/>
      <w:lang w:val="en-US" w:eastAsia="ro-RO" w:bidi="ar-SA"/>
    </w:rPr>
  </w:style>
  <w:style w:type="paragraph" w:styleId="1817">
    <w:name w:val="Style1"/>
    <w:basedOn w:val="1782"/>
    <w:next w:val="1782"/>
    <w:link w:val="1711"/>
    <w:pPr>
      <w:pBdr/>
      <w:spacing/>
      <w:ind w:right="227" w:left="227"/>
    </w:pPr>
    <w:rPr>
      <w:sz w:val="20"/>
    </w:rPr>
  </w:style>
  <w:style w:type="paragraph" w:styleId="1818">
    <w:name w:val="Id matter"/>
    <w:basedOn w:val="1711"/>
    <w:next w:val="1782"/>
    <w:link w:val="1816"/>
    <w:pPr>
      <w:pBdr/>
      <w:spacing w:line="240" w:lineRule="exact"/>
      <w:ind w:left="227"/>
    </w:pPr>
    <w:rPr>
      <w:rFonts w:ascii="New Century Schoolbook" w:hAnsi="New Century Schoolbook"/>
      <w:sz w:val="20"/>
      <w:szCs w:val="20"/>
      <w:lang w:val="en-US"/>
    </w:rPr>
  </w:style>
  <w:style w:type="paragraph" w:styleId="1819">
    <w:name w:val="Biblio style"/>
    <w:basedOn w:val="1711"/>
    <w:next w:val="1819"/>
    <w:link w:val="1822"/>
    <w:pPr>
      <w:pBdr/>
      <w:tabs>
        <w:tab w:val="left" w:leader="none" w:pos="0"/>
        <w:tab w:val="left" w:leader="none" w:pos="1152"/>
        <w:tab w:val="left" w:leader="none" w:pos="1440"/>
      </w:tabs>
      <w:spacing w:before="40" w:line="220" w:lineRule="exact"/>
      <w:ind w:hanging="227" w:left="227"/>
    </w:pPr>
    <w:rPr>
      <w:rFonts w:ascii="New Century Schoolbook" w:hAnsi="New Century Schoolbook"/>
      <w:sz w:val="18"/>
      <w:szCs w:val="22"/>
      <w:lang w:val="en-US"/>
    </w:rPr>
  </w:style>
  <w:style w:type="character" w:styleId="1820">
    <w:name w:val="Style ET: + New Century Schoolbook 11 pt"/>
    <w:next w:val="1820"/>
    <w:link w:val="1711"/>
    <w:pPr>
      <w:pBdr/>
      <w:spacing/>
      <w:ind/>
    </w:pPr>
    <w:rPr>
      <w:rFonts w:ascii="New Century Schoolbook" w:hAnsi="New Century Schoolbook"/>
      <w:sz w:val="18"/>
      <w:szCs w:val="18"/>
    </w:rPr>
  </w:style>
  <w:style w:type="paragraph" w:styleId="1821">
    <w:name w:val="Style ST: + New Century Schoolbook 11 pt"/>
    <w:basedOn w:val="1819"/>
    <w:next w:val="1819"/>
    <w:link w:val="1823"/>
    <w:pPr>
      <w:pBdr/>
      <w:spacing/>
      <w:ind/>
    </w:pPr>
    <w:rPr>
      <w:szCs w:val="18"/>
    </w:rPr>
  </w:style>
  <w:style w:type="character" w:styleId="1822">
    <w:name w:val="Biblio style Char"/>
    <w:next w:val="1822"/>
    <w:link w:val="1819"/>
    <w:pPr>
      <w:pBdr/>
      <w:spacing/>
      <w:ind/>
    </w:pPr>
    <w:rPr>
      <w:rFonts w:ascii="New Century Schoolbook" w:hAnsi="New Century Schoolbook"/>
      <w:sz w:val="18"/>
      <w:szCs w:val="22"/>
      <w:lang w:val="en-US" w:eastAsia="ro-RO" w:bidi="ar-SA"/>
    </w:rPr>
  </w:style>
  <w:style w:type="character" w:styleId="1823">
    <w:name w:val="Style ST: + New Century Schoolbook 11 pt Char"/>
    <w:next w:val="1823"/>
    <w:link w:val="1821"/>
    <w:pPr>
      <w:pBdr/>
      <w:spacing/>
      <w:ind/>
    </w:pPr>
    <w:rPr>
      <w:rFonts w:ascii="New Century Schoolbook" w:hAnsi="New Century Schoolbook"/>
      <w:sz w:val="18"/>
      <w:szCs w:val="18"/>
      <w:lang w:val="en-US" w:eastAsia="ro-RO" w:bidi="ar-SA"/>
    </w:rPr>
  </w:style>
  <w:style w:type="paragraph" w:styleId="1824">
    <w:name w:val="Style JT: + New Century Schoolbook 11 pt"/>
    <w:basedOn w:val="1819"/>
    <w:next w:val="1819"/>
    <w:link w:val="1825"/>
    <w:pPr>
      <w:pBdr/>
      <w:spacing/>
      <w:ind/>
    </w:pPr>
    <w:rPr>
      <w:i/>
    </w:rPr>
  </w:style>
  <w:style w:type="character" w:styleId="1825">
    <w:name w:val="Style JT: + New Century Schoolbook 11 pt Char"/>
    <w:next w:val="1825"/>
    <w:link w:val="1824"/>
    <w:pPr>
      <w:pBdr/>
      <w:spacing/>
      <w:ind/>
    </w:pPr>
    <w:rPr>
      <w:rFonts w:ascii="New Century Schoolbook" w:hAnsi="New Century Schoolbook"/>
      <w:i/>
      <w:sz w:val="18"/>
      <w:szCs w:val="22"/>
      <w:lang w:val="en-US" w:eastAsia="ro-RO" w:bidi="ar-SA"/>
    </w:rPr>
  </w:style>
  <w:style w:type="paragraph" w:styleId="1826">
    <w:name w:val="Cite"/>
    <w:basedOn w:val="1818"/>
    <w:next w:val="1806"/>
    <w:link w:val="1827"/>
    <w:pPr>
      <w:pBdr/>
      <w:spacing w:line="220" w:lineRule="exact"/>
      <w:ind w:right="227"/>
    </w:pPr>
    <w:rPr>
      <w:sz w:val="18"/>
    </w:rPr>
  </w:style>
  <w:style w:type="character" w:styleId="1827">
    <w:name w:val="Cite Char"/>
    <w:next w:val="1827"/>
    <w:link w:val="1826"/>
    <w:pPr>
      <w:pBdr/>
      <w:spacing/>
      <w:ind/>
    </w:pPr>
    <w:rPr>
      <w:rFonts w:ascii="New Century Schoolbook" w:hAnsi="New Century Schoolbook"/>
      <w:sz w:val="18"/>
      <w:lang w:val="en-US" w:eastAsia="ro-RO" w:bidi="ar-SA"/>
    </w:rPr>
  </w:style>
  <w:style w:type="paragraph" w:styleId="1828">
    <w:name w:val="Prelim half title PBTM"/>
    <w:next w:val="1828"/>
    <w:link w:val="1711"/>
    <w:pPr>
      <w:widowControl w:val="false"/>
      <w:pBdr/>
      <w:spacing w:line="200" w:lineRule="atLeast"/>
      <w:ind/>
      <w:jc w:val="center"/>
    </w:pPr>
    <w:rPr>
      <w:caps/>
      <w:sz w:val="18"/>
      <w:szCs w:val="18"/>
      <w:lang w:val="en-US" w:eastAsia="en-US" w:bidi="ar-SA"/>
    </w:rPr>
  </w:style>
  <w:style w:type="paragraph" w:styleId="1829">
    <w:name w:val="Prelim half title"/>
    <w:next w:val="1829"/>
    <w:link w:val="1711"/>
    <w:pPr>
      <w:widowControl w:val="false"/>
      <w:pBdr/>
      <w:spacing w:after="240" w:before="2440" w:line="480" w:lineRule="exact"/>
      <w:ind/>
      <w:jc w:val="center"/>
    </w:pPr>
    <w:rPr>
      <w:sz w:val="36"/>
      <w:szCs w:val="36"/>
      <w:lang w:val="en-US" w:eastAsia="en-US" w:bidi="ar-SA"/>
    </w:rPr>
  </w:style>
  <w:style w:type="paragraph" w:styleId="1830">
    <w:name w:val="Prelim half title sub"/>
    <w:next w:val="1830"/>
    <w:link w:val="1711"/>
    <w:pPr>
      <w:widowControl w:val="false"/>
      <w:pBdr/>
      <w:spacing w:line="320" w:lineRule="atLeast"/>
      <w:ind/>
      <w:jc w:val="center"/>
    </w:pPr>
    <w:rPr>
      <w:sz w:val="24"/>
      <w:szCs w:val="24"/>
      <w:lang w:val="en-US" w:eastAsia="en-US" w:bidi="ar-SA"/>
    </w:rPr>
  </w:style>
  <w:style w:type="paragraph" w:styleId="1831">
    <w:name w:val="Prelims advert card"/>
    <w:next w:val="1831"/>
    <w:link w:val="1711"/>
    <w:pPr>
      <w:framePr w:hSpace="181" w:vSpace="181" w:wrap="notBeside" w:yAlign="bottom"/>
      <w:widowControl w:val="false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40" w:line="260" w:lineRule="atLeast"/>
      <w:ind w:right="1134" w:left="1134"/>
      <w:jc w:val="center"/>
    </w:pPr>
    <w:rPr>
      <w:lang w:val="en-US" w:eastAsia="en-US" w:bidi="ar-SA"/>
    </w:rPr>
  </w:style>
  <w:style w:type="paragraph" w:styleId="1832">
    <w:name w:val="Prelim title author"/>
    <w:next w:val="1832"/>
    <w:link w:val="1711"/>
    <w:pPr>
      <w:widowControl w:val="false"/>
      <w:pBdr/>
      <w:spacing w:before="1280" w:line="320" w:lineRule="atLeast"/>
      <w:ind/>
      <w:jc w:val="center"/>
    </w:pPr>
    <w:rPr>
      <w:sz w:val="28"/>
      <w:szCs w:val="28"/>
      <w:lang w:val="en-US" w:eastAsia="en-US" w:bidi="ar-SA"/>
    </w:rPr>
  </w:style>
  <w:style w:type="paragraph" w:styleId="1833">
    <w:name w:val="Prelim imprint"/>
    <w:next w:val="1833"/>
    <w:link w:val="1711"/>
    <w:pPr>
      <w:widowControl w:val="false"/>
      <w:pBdr/>
      <w:spacing w:line="240" w:lineRule="exact"/>
      <w:ind w:right="238" w:left="238"/>
      <w:jc w:val="center"/>
    </w:pPr>
    <w:rPr>
      <w:sz w:val="18"/>
      <w:szCs w:val="18"/>
      <w:lang w:val="en-US" w:eastAsia="en-US" w:bidi="ar-SA"/>
    </w:rPr>
  </w:style>
  <w:style w:type="paragraph" w:styleId="1834">
    <w:name w:val="Prelim CTT"/>
    <w:next w:val="1834"/>
    <w:link w:val="1711"/>
    <w:pPr>
      <w:widowControl w:val="false"/>
      <w:pBdr/>
      <w:spacing w:after="1360" w:before="920" w:line="280" w:lineRule="atLeast"/>
      <w:ind/>
      <w:jc w:val="center"/>
    </w:pPr>
    <w:rPr>
      <w:b/>
      <w:bCs/>
      <w:sz w:val="28"/>
      <w:szCs w:val="28"/>
      <w:lang w:val="en-US" w:eastAsia="en-US" w:bidi="ar-SA"/>
    </w:rPr>
  </w:style>
  <w:style w:type="paragraph" w:styleId="1835">
    <w:name w:val="Prelim contents list"/>
    <w:next w:val="1835"/>
    <w:link w:val="1711"/>
    <w:pPr>
      <w:widowControl w:val="false"/>
      <w:pBdr/>
      <w:tabs>
        <w:tab w:val="left" w:leader="none" w:pos="680"/>
        <w:tab w:val="right" w:leader="none" w:pos="6406"/>
      </w:tabs>
      <w:spacing w:line="280" w:lineRule="atLeast"/>
      <w:ind/>
    </w:pPr>
    <w:rPr>
      <w:sz w:val="22"/>
      <w:szCs w:val="22"/>
      <w:lang w:val="en-US" w:eastAsia="en-US" w:bidi="ar-SA"/>
    </w:rPr>
  </w:style>
  <w:style w:type="paragraph" w:styleId="1836">
    <w:name w:val="Prelim title foreword"/>
    <w:basedOn w:val="1832"/>
    <w:next w:val="1836"/>
    <w:link w:val="1711"/>
    <w:pPr>
      <w:pBdr/>
      <w:spacing w:before="640" w:line="280" w:lineRule="atLeast"/>
      <w:ind/>
    </w:pPr>
    <w:rPr>
      <w:sz w:val="24"/>
    </w:rPr>
  </w:style>
  <w:style w:type="paragraph" w:styleId="1837">
    <w:name w:val="Opening paragraph"/>
    <w:next w:val="1837"/>
    <w:link w:val="1711"/>
    <w:pPr>
      <w:widowControl w:val="false"/>
      <w:pBdr/>
      <w:spacing w:line="240" w:lineRule="exact"/>
      <w:ind/>
      <w:jc w:val="both"/>
    </w:pPr>
    <w:rPr>
      <w:lang w:val="en-US" w:eastAsia="en-US" w:bidi="ar-SA"/>
    </w:rPr>
  </w:style>
  <w:style w:type="paragraph" w:styleId="1838">
    <w:name w:val="Prelim CTT Small Cap"/>
    <w:basedOn w:val="1834"/>
    <w:next w:val="1838"/>
    <w:link w:val="1711"/>
    <w:pPr>
      <w:pBdr/>
      <w:spacing/>
      <w:ind/>
    </w:pPr>
    <w:rPr>
      <w:smallCaps/>
    </w:rPr>
  </w:style>
  <w:style w:type="paragraph" w:styleId="1839">
    <w:name w:val="Prelim dedication"/>
    <w:basedOn w:val="1711"/>
    <w:next w:val="1839"/>
    <w:link w:val="1711"/>
    <w:pPr>
      <w:pageBreakBefore w:val="true"/>
      <w:widowControl w:val="false"/>
      <w:pBdr/>
      <w:spacing w:before="2360" w:line="280" w:lineRule="exact"/>
      <w:ind w:firstLine="238"/>
      <w:jc w:val="center"/>
    </w:pPr>
    <w:rPr>
      <w:i/>
      <w:sz w:val="22"/>
      <w:lang w:val="en-US" w:eastAsia="en-US"/>
    </w:rPr>
  </w:style>
  <w:style w:type="paragraph" w:styleId="1840">
    <w:name w:val="Prelim contents list B"/>
    <w:basedOn w:val="1835"/>
    <w:next w:val="1840"/>
    <w:link w:val="1711"/>
    <w:pPr>
      <w:pBdr/>
      <w:spacing/>
      <w:ind w:left="284"/>
    </w:pPr>
  </w:style>
  <w:style w:type="paragraph" w:styleId="1841">
    <w:name w:val="Prelim contents list C"/>
    <w:basedOn w:val="1840"/>
    <w:next w:val="1841"/>
    <w:link w:val="1711"/>
    <w:pPr>
      <w:pBdr/>
      <w:spacing/>
      <w:ind w:left="567"/>
    </w:pPr>
    <w:rPr>
      <w:caps/>
    </w:rPr>
  </w:style>
  <w:style w:type="paragraph" w:styleId="1842">
    <w:name w:val="Prelim contents list D"/>
    <w:basedOn w:val="1835"/>
    <w:next w:val="1842"/>
    <w:link w:val="1711"/>
    <w:pPr>
      <w:pBdr/>
      <w:spacing/>
      <w:ind w:left="851"/>
    </w:pPr>
  </w:style>
  <w:style w:type="paragraph" w:styleId="1843">
    <w:name w:val="Main Text (First Paragraph)"/>
    <w:basedOn w:val="1711"/>
    <w:next w:val="1843"/>
    <w:link w:val="1711"/>
    <w:pPr>
      <w:pBdr/>
      <w:spacing w:line="240" w:lineRule="exact"/>
      <w:ind/>
    </w:pPr>
    <w:rPr>
      <w:szCs w:val="20"/>
      <w:lang w:val="en-US" w:eastAsia="en-US"/>
    </w:rPr>
  </w:style>
  <w:style w:type="character" w:styleId="1844">
    <w:name w:val="IX"/>
    <w:next w:val="1844"/>
    <w:link w:val="1711"/>
    <w:pPr>
      <w:pBdr/>
      <w:spacing/>
      <w:ind/>
    </w:pPr>
  </w:style>
  <w:style w:type="paragraph" w:styleId="1845">
    <w:name w:val="Body Text First Indent"/>
    <w:basedOn w:val="1735"/>
    <w:next w:val="1845"/>
    <w:link w:val="1855"/>
    <w:pPr>
      <w:pBdr/>
      <w:tabs>
        <w:tab w:val="clear" w:leader="none" w:pos="25"/>
        <w:tab w:val="clear" w:leader="none" w:pos="576"/>
        <w:tab w:val="clear" w:leader="none" w:pos="2160"/>
      </w:tabs>
      <w:spacing w:after="120"/>
      <w:ind w:firstLine="210"/>
      <w:jc w:val="left"/>
    </w:pPr>
    <w:rPr>
      <w:b/>
      <w:bCs/>
    </w:rPr>
  </w:style>
  <w:style w:type="paragraph" w:styleId="1846">
    <w:name w:val="List"/>
    <w:basedOn w:val="1711"/>
    <w:next w:val="1846"/>
    <w:link w:val="1711"/>
    <w:pPr>
      <w:pBdr/>
      <w:spacing/>
      <w:ind w:hanging="360" w:left="360"/>
    </w:pPr>
    <w:rPr>
      <w:lang w:val="en-US" w:eastAsia="en-US" w:bidi="he-IL"/>
    </w:rPr>
  </w:style>
  <w:style w:type="paragraph" w:styleId="1847">
    <w:name w:val="List Bullet"/>
    <w:basedOn w:val="1711"/>
    <w:next w:val="1847"/>
    <w:link w:val="1711"/>
    <w:pPr>
      <w:pBdr/>
      <w:tabs>
        <w:tab w:val="num" w:leader="none" w:pos="360"/>
      </w:tabs>
      <w:spacing/>
      <w:ind w:hanging="360" w:left="360"/>
    </w:pPr>
    <w:rPr>
      <w:lang w:val="en-US" w:eastAsia="en-US" w:bidi="he-IL"/>
    </w:rPr>
  </w:style>
  <w:style w:type="character" w:styleId="1848">
    <w:name w:val="Heading 3 Char"/>
    <w:next w:val="1848"/>
    <w:link w:val="1711"/>
    <w:pPr>
      <w:pBdr/>
      <w:spacing/>
      <w:ind/>
    </w:pPr>
    <w:rPr>
      <w:rFonts w:ascii="Arial" w:hAnsi="Arial" w:cs="Arial"/>
      <w:b/>
      <w:bCs/>
      <w:sz w:val="26"/>
      <w:szCs w:val="26"/>
      <w:lang w:val="en-US" w:eastAsia="en-US" w:bidi="he-IL"/>
    </w:rPr>
  </w:style>
  <w:style w:type="paragraph" w:styleId="1849">
    <w:name w:val="footnote"/>
    <w:basedOn w:val="1711"/>
    <w:next w:val="1849"/>
    <w:link w:val="1856"/>
    <w:qFormat/>
    <w:pPr>
      <w:pBdr/>
      <w:spacing/>
      <w:ind w:hanging="227" w:left="227"/>
    </w:pPr>
    <w:rPr>
      <w:rStyle w:val="1732"/>
      <w:rFonts w:ascii="Gentium" w:hAnsi="Gentium" w:eastAsia="Gentium" w:cs="Gentium"/>
      <w:sz w:val="20"/>
      <w:szCs w:val="20"/>
      <w:lang w:eastAsia="en-US" w:bidi="he-IL"/>
    </w:rPr>
  </w:style>
  <w:style w:type="paragraph" w:styleId="1850">
    <w:name w:val="Style Title Book + Left"/>
    <w:basedOn w:val="1809"/>
    <w:next w:val="1850"/>
    <w:link w:val="1711"/>
    <w:pPr>
      <w:pBdr/>
      <w:spacing w:before="1920" w:line="600" w:lineRule="auto"/>
      <w:ind/>
      <w:jc w:val="center"/>
    </w:pPr>
    <w:rPr>
      <w:sz w:val="44"/>
      <w:szCs w:val="44"/>
    </w:rPr>
  </w:style>
  <w:style w:type="paragraph" w:styleId="1851">
    <w:name w:val="body items"/>
    <w:basedOn w:val="1735"/>
    <w:next w:val="1851"/>
    <w:link w:val="1711"/>
    <w:pPr>
      <w:pBdr/>
      <w:spacing/>
      <w:ind/>
    </w:pPr>
    <w:rPr>
      <w:sz w:val="22"/>
      <w:szCs w:val="22"/>
    </w:rPr>
  </w:style>
  <w:style w:type="paragraph" w:styleId="1852">
    <w:name w:val="Style Body Text + First line:  0&quot;"/>
    <w:basedOn w:val="1735"/>
    <w:next w:val="1852"/>
    <w:link w:val="1711"/>
    <w:pPr>
      <w:pBdr/>
      <w:spacing/>
      <w:ind/>
    </w:pPr>
  </w:style>
  <w:style w:type="character" w:styleId="1853">
    <w:name w:val="Body Text First Indent 2 Char"/>
    <w:basedOn w:val="1814"/>
    <w:next w:val="1853"/>
    <w:link w:val="1802"/>
    <w:pPr>
      <w:pBdr/>
      <w:spacing/>
      <w:ind/>
    </w:pPr>
  </w:style>
  <w:style w:type="character" w:styleId="1854">
    <w:name w:val="Body Text Char"/>
    <w:next w:val="1854"/>
    <w:link w:val="1735"/>
    <w:pPr>
      <w:pBdr/>
      <w:spacing/>
      <w:ind/>
    </w:pPr>
    <w:rPr>
      <w:rFonts w:ascii="New Century Schoolbook" w:hAnsi="New Century Schoolbook"/>
      <w:sz w:val="24"/>
      <w:szCs w:val="24"/>
      <w:lang w:val="ro-RO" w:eastAsia="ro-RO" w:bidi="ar-SA"/>
    </w:rPr>
  </w:style>
  <w:style w:type="character" w:styleId="1855">
    <w:name w:val="Body Text First Indent Char"/>
    <w:next w:val="1855"/>
    <w:link w:val="1845"/>
    <w:pPr>
      <w:pBdr/>
      <w:spacing/>
      <w:ind/>
    </w:pPr>
    <w:rPr>
      <w:rFonts w:ascii="New Century Schoolbook" w:hAnsi="New Century Schoolbook"/>
      <w:b/>
      <w:bCs/>
      <w:sz w:val="24"/>
      <w:szCs w:val="24"/>
      <w:lang w:val="ro-RO" w:eastAsia="ro-RO" w:bidi="ar-SA"/>
    </w:rPr>
  </w:style>
  <w:style w:type="character" w:styleId="1856">
    <w:name w:val="footnote Char"/>
    <w:basedOn w:val="1732"/>
    <w:next w:val="1732"/>
    <w:link w:val="1849"/>
    <w:pPr>
      <w:pBdr/>
      <w:spacing/>
      <w:ind/>
    </w:pPr>
    <w:rPr>
      <w:rStyle w:val="1732"/>
      <w:rFonts w:ascii="Gentium" w:hAnsi="Gentium" w:eastAsia="Gentium" w:cs="Gentium"/>
    </w:rPr>
  </w:style>
  <w:style w:type="paragraph" w:styleId="1857">
    <w:name w:val="Normal (Web)"/>
    <w:basedOn w:val="1711"/>
    <w:next w:val="1857"/>
    <w:link w:val="1711"/>
    <w:pPr>
      <w:pBdr/>
      <w:spacing w:after="100" w:afterAutospacing="1" w:before="100" w:beforeAutospacing="1"/>
      <w:ind/>
    </w:pPr>
    <w:rPr>
      <w:lang w:val="en-US" w:eastAsia="en-US" w:bidi="he-IL"/>
    </w:rPr>
  </w:style>
  <w:style w:type="character" w:styleId="1858">
    <w:name w:val="Book Title"/>
    <w:basedOn w:val="1719"/>
    <w:next w:val="1858"/>
    <w:link w:val="1711"/>
    <w:pPr>
      <w:pBdr/>
      <w:spacing/>
      <w:ind/>
    </w:pPr>
  </w:style>
  <w:style w:type="character" w:styleId="1859">
    <w:name w:val="Emphasis"/>
    <w:next w:val="1859"/>
    <w:link w:val="1711"/>
    <w:qFormat/>
    <w:pPr>
      <w:pBdr/>
      <w:spacing/>
      <w:ind/>
    </w:pPr>
    <w:rPr>
      <w:i/>
      <w:iCs/>
    </w:rPr>
  </w:style>
  <w:style w:type="table" w:styleId="1860">
    <w:name w:val="Table Grid"/>
    <w:basedOn w:val="1720"/>
    <w:next w:val="1860"/>
    <w:link w:val="1711"/>
    <w:pPr>
      <w:pBdr/>
      <w:spacing/>
      <w:ind/>
    </w:p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861">
    <w:name w:val="List Paragraph"/>
    <w:basedOn w:val="1711"/>
    <w:next w:val="1861"/>
    <w:link w:val="1711"/>
    <w:uiPriority w:val="34"/>
    <w:qFormat/>
    <w:pPr>
      <w:pBdr/>
      <w:spacing/>
      <w:ind w:left="720"/>
    </w:pPr>
  </w:style>
  <w:style w:type="paragraph" w:styleId="1862">
    <w:name w:val="Subtitle"/>
    <w:basedOn w:val="1711"/>
    <w:next w:val="1711"/>
    <w:link w:val="1863"/>
    <w:qFormat/>
    <w:pPr>
      <w:pBdr/>
      <w:spacing w:after="60"/>
      <w:ind/>
      <w:jc w:val="center"/>
      <w:outlineLvl w:val="1"/>
    </w:pPr>
    <w:rPr>
      <w:rFonts w:ascii="Cambria" w:hAnsi="Cambria" w:eastAsia="Times New Roman" w:cs="Times New Roman"/>
    </w:rPr>
  </w:style>
  <w:style w:type="character" w:styleId="1863">
    <w:name w:val="Subtitle Char"/>
    <w:next w:val="1863"/>
    <w:link w:val="1862"/>
    <w:pPr>
      <w:pBdr/>
      <w:spacing/>
      <w:ind/>
    </w:pPr>
    <w:rPr>
      <w:rFonts w:ascii="Cambria" w:hAnsi="Cambria" w:eastAsia="Times New Roman" w:cs="Times New Roman"/>
      <w:sz w:val="24"/>
      <w:szCs w:val="24"/>
      <w:lang w:val="ro-RO" w:eastAsia="ro-RO"/>
    </w:rPr>
  </w:style>
  <w:style w:type="paragraph" w:styleId="1864">
    <w:name w:val="TOC Heading"/>
    <w:basedOn w:val="1712"/>
    <w:next w:val="1711"/>
    <w:link w:val="1711"/>
    <w:uiPriority w:val="39"/>
    <w:qFormat/>
    <w:pPr>
      <w:keepLines w:val="true"/>
      <w:pBdr/>
      <w:spacing w:after="0" w:before="480" w:line="276" w:lineRule="auto"/>
      <w:ind w:firstLine="0"/>
      <w:jc w:val="left"/>
      <w:outlineLvl w:val="9"/>
    </w:pPr>
    <w:rPr>
      <w:rFonts w:ascii="Cambria" w:hAnsi="Cambria" w:eastAsia="Times New Roman" w:cs="Times New Roman"/>
      <w:color w:val="365f91"/>
      <w:sz w:val="28"/>
      <w:szCs w:val="28"/>
      <w:lang w:eastAsia="en-US"/>
    </w:rPr>
  </w:style>
  <w:style w:type="character" w:styleId="1865">
    <w:name w:val="FollowedHyperlink"/>
    <w:next w:val="1865"/>
    <w:link w:val="1711"/>
    <w:pPr>
      <w:pBdr/>
      <w:spacing/>
      <w:ind/>
    </w:pPr>
    <w:rPr>
      <w:color w:val="800080"/>
      <w:u w:val="single"/>
    </w:rPr>
  </w:style>
  <w:style w:type="character" w:styleId="1866">
    <w:name w:val="addmd1"/>
    <w:next w:val="1866"/>
    <w:link w:val="1711"/>
    <w:pPr>
      <w:pBdr/>
      <w:spacing/>
      <w:ind/>
    </w:pPr>
    <w:rPr>
      <w:rFonts w:ascii="Arial" w:hAnsi="Arial" w:cs="Arial"/>
      <w:color w:val="777777"/>
      <w:sz w:val="20"/>
      <w:szCs w:val="20"/>
    </w:rPr>
  </w:style>
  <w:style w:type="paragraph" w:styleId="1867">
    <w:name w:val="footnote texts"/>
    <w:basedOn w:val="1857"/>
    <w:next w:val="1867"/>
    <w:link w:val="1711"/>
    <w:pPr>
      <w:pBdr/>
      <w:spacing w:after="0" w:afterAutospacing="0" w:before="0" w:beforeAutospacing="0" w:line="240" w:lineRule="auto"/>
      <w:ind w:firstLine="0"/>
    </w:pPr>
    <w:rPr>
      <w:rFonts w:ascii="Times New Roman" w:hAnsi="Times New Roman"/>
      <w:sz w:val="18"/>
      <w:szCs w:val="18"/>
      <w:lang w:bidi="ar-SA"/>
    </w:rPr>
  </w:style>
  <w:style w:type="character" w:styleId="1868">
    <w:name w:val="artauthor"/>
    <w:basedOn w:val="1719"/>
    <w:next w:val="1868"/>
    <w:link w:val="1711"/>
    <w:pPr>
      <w:pBdr/>
      <w:spacing/>
      <w:ind/>
    </w:pPr>
  </w:style>
  <w:style w:type="paragraph" w:styleId="1869">
    <w:name w:val="endnote text"/>
    <w:basedOn w:val="1711"/>
    <w:next w:val="1869"/>
    <w:link w:val="1870"/>
    <w:uiPriority w:val="99"/>
    <w:unhideWhenUsed/>
    <w:pPr>
      <w:pBdr/>
      <w:spacing w:line="240" w:lineRule="auto"/>
      <w:ind w:firstLine="0"/>
      <w:jc w:val="left"/>
    </w:pPr>
    <w:rPr>
      <w:rFonts w:ascii="Times New Roman" w:hAnsi="Times New Roman"/>
      <w:sz w:val="20"/>
      <w:szCs w:val="20"/>
    </w:rPr>
  </w:style>
  <w:style w:type="character" w:styleId="1870">
    <w:name w:val="Endnote Text Char"/>
    <w:next w:val="1870"/>
    <w:link w:val="1869"/>
    <w:uiPriority w:val="99"/>
    <w:pPr>
      <w:pBdr/>
      <w:spacing/>
      <w:ind/>
    </w:pPr>
    <w:rPr>
      <w:lang w:val="ro-RO" w:eastAsia="ro-RO" w:bidi="ar-SA"/>
    </w:rPr>
  </w:style>
  <w:style w:type="character" w:styleId="1871">
    <w:name w:val="endnote reference"/>
    <w:next w:val="1871"/>
    <w:link w:val="1711"/>
    <w:uiPriority w:val="99"/>
    <w:unhideWhenUsed/>
    <w:pPr>
      <w:pBdr/>
      <w:spacing/>
      <w:ind/>
    </w:pPr>
    <w:rPr>
      <w:vertAlign w:val="superscript"/>
    </w:rPr>
  </w:style>
  <w:style w:type="character" w:styleId="1872">
    <w:name w:val="apple-converted-space"/>
    <w:next w:val="1872"/>
    <w:link w:val="1711"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tbntemplate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TEOLOGIA BIBLICĂ A NOULUI TESTAMENT</dc:title>
  <cp:revision>5</cp:revision>
  <dcterms:created xsi:type="dcterms:W3CDTF">2013-11-13T15:07:00Z</dcterms:created>
  <dcterms:modified xsi:type="dcterms:W3CDTF">2026-05-01T16:40:09Z</dcterms:modified>
  <cp:version>917504</cp:version>
</cp:coreProperties>
</file>