
<file path=[Content_Types].xml><?xml version="1.0" encoding="utf-8"?>
<Types xmlns="http://schemas.openxmlformats.org/package/2006/content-types">
  <Default Extension="jpg" ContentType="image/jpeg"/>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customXml/itemProps1.xml" ContentType="application/vnd.openxmlformats-officedocument.customXmlProperties+xml"/>
  <Override PartName="/word/document.xml" ContentType="application/vnd.openxmlformats-officedocument.wordprocessingml.document.main+xml"/>
  <Override PartName="/word/styles.xml" ContentType="application/vnd.openxmlformats-officedocument.wordprocessingml.styles+xml"/>
  <Override PartName="/word/header2.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937"/>
        <w:widowControl w:val="false"/>
        <w:pBdr/>
        <w:spacing w:after="20" w:before="20"/>
        <w:ind/>
        <w:jc w:val="center"/>
        <w:rPr>
          <w:rFonts w:ascii="Gentium" w:hAnsi="Gentium"/>
          <w:b/>
          <w:bCs/>
        </w:rPr>
      </w:pPr>
      <w:r>
        <w:rPr>
          <w:rFonts w:ascii="Gentium" w:hAnsi="Gentium"/>
          <w:b/>
          <w:bCs/>
        </w:rPr>
      </w:r>
      <w:r>
        <w:rPr>
          <w:rFonts w:ascii="Gentium" w:hAnsi="Gentium"/>
          <w:b/>
          <w:bCs/>
        </w:rPr>
      </w:r>
      <w:r>
        <w:rPr>
          <w:rFonts w:ascii="Gentium" w:hAnsi="Gentium"/>
          <w:b/>
          <w:bCs/>
        </w:rPr>
      </w:r>
    </w:p>
    <w:p>
      <w:pPr>
        <w:pStyle w:val="938"/>
        <w:pBdr/>
        <w:spacing/>
        <w:ind/>
        <w:jc w:val="center"/>
        <w:outlineLvl w:val="0"/>
        <w:rPr>
          <w:rFonts w:ascii="Gentium" w:hAnsi="Gentium"/>
          <w:b/>
          <w:bCs/>
          <w:sz w:val="48"/>
          <w:szCs w:val="48"/>
          <w:highlight w:val="none"/>
          <w:lang w:val="ro-RO"/>
        </w:rPr>
      </w:pPr>
      <w:r>
        <w:rPr>
          <w:rFonts w:ascii="Gentium" w:hAnsi="Gentium"/>
          <w:b/>
          <w:sz w:val="48"/>
          <w:szCs w:val="48"/>
          <w:lang w:val="en-US"/>
        </w:rPr>
        <w:t xml:space="preserve">Curente teologice</w:t>
      </w:r>
      <w:r>
        <w:rPr>
          <w:rFonts w:ascii="Gentium" w:hAnsi="Gentium"/>
          <w:b/>
          <w:sz w:val="48"/>
          <w:szCs w:val="48"/>
          <w:lang w:val="ro-RO"/>
        </w:rPr>
        <w:t xml:space="preserve">, </w:t>
      </w:r>
      <w:r>
        <w:rPr>
          <w:rFonts w:ascii="Gentium" w:hAnsi="Gentium"/>
          <w:b/>
          <w:sz w:val="48"/>
          <w:szCs w:val="48"/>
          <w:lang w:val="ro-RO"/>
        </w:rPr>
        <w:t xml:space="preserve">filosofice și relații sociale în NT, în contextul Imperiului Roman</w:t>
      </w:r>
      <w:r>
        <w:rPr>
          <w:rFonts w:ascii="Gentium" w:hAnsi="Gentium"/>
          <w:b/>
          <w:bCs/>
          <w:sz w:val="48"/>
          <w:szCs w:val="48"/>
          <w:highlight w:val="none"/>
          <w:lang w:val="ro-RO"/>
        </w:rPr>
      </w:r>
      <w:r>
        <w:rPr>
          <w:rFonts w:ascii="Gentium" w:hAnsi="Gentium"/>
          <w:b/>
          <w:bCs/>
          <w:sz w:val="48"/>
          <w:szCs w:val="48"/>
          <w:highlight w:val="none"/>
          <w:lang w:val="ro-RO"/>
        </w:rPr>
      </w:r>
    </w:p>
    <w:p w14:paraId="7CC46E21">
      <w:pPr>
        <w:pStyle w:val="937"/>
        <w:widowControl w:val="false"/>
        <w:numPr>
          <w:ilvl w:val="0"/>
          <w:numId w:val="0"/>
        </w:numPr>
        <w:pBdr/>
        <w:spacing w:after="20" w:before="20"/>
        <w:ind/>
        <w:jc w:val="center"/>
        <w:outlineLvl w:val="0"/>
        <w:rPr>
          <w:rFonts w:ascii="Gentium" w:hAnsi="Gentium"/>
          <w:b/>
          <w:bCs/>
          <w:sz w:val="48"/>
          <w:szCs w:val="48"/>
          <w:highlight w:val="none"/>
          <w:lang w:val="ro-RO"/>
        </w:rPr>
      </w:pPr>
      <w:r>
        <w:rPr>
          <w:rFonts w:ascii="Gentium" w:hAnsi="Gentium"/>
          <w:b/>
          <w:sz w:val="48"/>
          <w:szCs w:val="48"/>
          <w:highlight w:val="none"/>
          <w:lang w:val="ro-RO" w:bidi="ro-RO"/>
        </w:rPr>
      </w:r>
      <w:r>
        <w:rPr>
          <w:rFonts w:ascii="Gentium" w:hAnsi="Gentium"/>
          <w:b/>
          <w:bCs/>
          <w:sz w:val="48"/>
          <w:szCs w:val="48"/>
          <w:highlight w:val="none"/>
          <w:lang w:val="ro-RO"/>
        </w:rPr>
      </w:r>
      <w:r>
        <w:rPr>
          <w:rFonts w:ascii="Gentium" w:hAnsi="Gentium"/>
          <w:b/>
          <w:bCs/>
          <w:sz w:val="48"/>
          <w:szCs w:val="48"/>
          <w:highlight w:val="none"/>
          <w:lang w:val="ro-RO"/>
        </w:rPr>
      </w:r>
    </w:p>
    <w:p w14:paraId="79F4673F">
      <w:pPr>
        <w:pStyle w:val="938"/>
        <w:pBdr/>
        <w:spacing/>
        <w:ind/>
        <w:jc w:val="center"/>
        <w:outlineLvl w:val="0"/>
        <w:rPr>
          <w:rFonts w:ascii="Gentium" w:hAnsi="Gentium"/>
          <w:b/>
          <w:bCs/>
        </w:rPr>
      </w:pPr>
      <w:r>
        <w:rPr>
          <w:rFonts w:ascii="Gentium" w:hAnsi="Gentium"/>
          <w:b/>
          <w:sz w:val="48"/>
          <w:szCs w:val="48"/>
          <w:highlight w:val="none"/>
          <w:lang w:val="ro-RO"/>
        </w:rPr>
        <w:t xml:space="preserve">NT în contextul cultural al primelor 3-4 secole</w:t>
      </w:r>
      <w:r>
        <w:rPr>
          <w:rFonts w:ascii="Gentium" w:hAnsi="Gentium"/>
          <w:b/>
          <w:bCs/>
        </w:rPr>
      </w:r>
      <w:r>
        <w:rPr>
          <w:rFonts w:ascii="Gentium" w:hAnsi="Gentium"/>
          <w:b/>
          <w:bCs/>
        </w:rPr>
      </w:r>
    </w:p>
    <w:p w14:paraId="0FBC4815">
      <w:pPr>
        <w:pStyle w:val="937"/>
        <w:widowControl w:val="false"/>
        <w:numPr>
          <w:ilvl w:val="0"/>
          <w:numId w:val="0"/>
        </w:numPr>
        <w:pBdr/>
        <w:spacing w:after="20" w:before="20"/>
        <w:ind/>
        <w:jc w:val="center"/>
        <w:outlineLvl w:val="0"/>
        <w:rPr>
          <w:rFonts w:ascii="Gentium" w:hAnsi="Gentium"/>
          <w:b/>
          <w:bCs/>
          <w:sz w:val="36"/>
          <w:szCs w:val="36"/>
        </w:rPr>
      </w:pPr>
      <w:r>
        <w:rPr>
          <w:rFonts w:ascii="Gentium" w:hAnsi="Gentium"/>
          <w:b/>
          <w:bCs/>
          <w:sz w:val="36"/>
          <w:szCs w:val="36"/>
        </w:rPr>
      </w:r>
      <w:r>
        <w:rPr>
          <w:rFonts w:ascii="Gentium" w:hAnsi="Gentium"/>
          <w:b/>
          <w:bCs/>
          <w:sz w:val="36"/>
          <w:szCs w:val="36"/>
        </w:rPr>
      </w:r>
      <w:r>
        <w:rPr>
          <w:rFonts w:ascii="Gentium" w:hAnsi="Gentium"/>
          <w:b/>
          <w:bCs/>
          <w:sz w:val="36"/>
          <w:szCs w:val="36"/>
        </w:rPr>
      </w:r>
    </w:p>
    <w:p w14:paraId="4CCDA814">
      <w:pPr>
        <w:pStyle w:val="937"/>
        <w:widowControl w:val="false"/>
        <w:numPr>
          <w:ilvl w:val="0"/>
          <w:numId w:val="0"/>
        </w:numPr>
        <w:pBdr/>
        <w:spacing w:after="20" w:before="20"/>
        <w:ind/>
        <w:jc w:val="center"/>
        <w:outlineLvl w:val="0"/>
        <w:rPr>
          <w:rFonts w:ascii="Gentium" w:hAnsi="Gentium"/>
          <w:b/>
          <w:bCs/>
          <w:sz w:val="36"/>
          <w:szCs w:val="36"/>
        </w:rPr>
      </w:pPr>
      <w:r>
        <w:rPr>
          <w:rFonts w:ascii="Gentium" w:hAnsi="Gentium"/>
          <w:b/>
          <w:sz w:val="36"/>
          <w:szCs w:val="36"/>
          <w:highlight w:val="none"/>
        </w:rPr>
      </w:r>
      <w:r>
        <w:rPr>
          <w:rFonts w:ascii="Gentium" w:hAnsi="Gentium"/>
          <w:b/>
          <w:bCs/>
          <w:sz w:val="36"/>
          <w:szCs w:val="36"/>
        </w:rPr>
      </w:r>
      <w:r>
        <w:rPr>
          <w:rFonts w:ascii="Gentium" w:hAnsi="Gentium"/>
          <w:b/>
          <w:bCs/>
          <w:sz w:val="36"/>
          <w:szCs w:val="36"/>
        </w:rPr>
      </w:r>
    </w:p>
    <w:p>
      <w:pPr>
        <w:pStyle w:val="937"/>
        <w:widowControl w:val="false"/>
        <w:numPr>
          <w:ilvl w:val="0"/>
          <w:numId w:val="0"/>
        </w:numPr>
        <w:pBdr/>
        <w:spacing w:after="20" w:before="20"/>
        <w:ind/>
        <w:jc w:val="center"/>
        <w:outlineLvl w:val="0"/>
        <w:rPr>
          <w:rFonts w:ascii="Gentium" w:hAnsi="Gentium"/>
          <w:b/>
          <w:bCs/>
          <w:sz w:val="36"/>
          <w:szCs w:val="36"/>
          <w:highlight w:val="none"/>
        </w:rPr>
      </w:pPr>
      <w:r>
        <w:rPr>
          <w:rFonts w:ascii="Gentium" w:hAnsi="Gentium"/>
          <w:b/>
          <w:sz w:val="36"/>
          <w:szCs w:val="36"/>
        </w:rPr>
        <w:t xml:space="preserve">ITBB, anul universitar 2025 – 2026</w:t>
      </w:r>
      <w:r>
        <w:rPr>
          <w:rFonts w:ascii="Gentium" w:hAnsi="Gentium"/>
          <w:b/>
          <w:bCs/>
          <w:sz w:val="36"/>
          <w:szCs w:val="36"/>
          <w:highlight w:val="none"/>
        </w:rPr>
      </w:r>
      <w:r>
        <w:rPr>
          <w:rFonts w:ascii="Gentium" w:hAnsi="Gentium"/>
          <w:b/>
          <w:bCs/>
          <w:sz w:val="36"/>
          <w:szCs w:val="36"/>
          <w:highlight w:val="none"/>
        </w:rPr>
      </w:r>
    </w:p>
    <w:p>
      <w:pPr>
        <w:pStyle w:val="937"/>
        <w:pBdr/>
        <w:spacing/>
        <w:ind/>
        <w:rPr>
          <w:rFonts w:ascii="Gentium" w:hAnsi="Gentium"/>
          <w:b/>
          <w:bCs/>
          <w:sz w:val="22"/>
          <w:szCs w:val="22"/>
          <w:highlight w:val="none"/>
        </w:rPr>
      </w:pPr>
      <w:r>
        <w:rPr>
          <w:rFonts w:ascii="Gentium" w:hAnsi="Gentium"/>
          <w:b/>
          <w:sz w:val="22"/>
          <w:szCs w:val="22"/>
        </w:rPr>
        <w:t xml:space="preserve">Conţinuturi</w:t>
      </w:r>
      <w:r>
        <w:rPr>
          <w:rFonts w:ascii="Gentium" w:hAnsi="Gentium"/>
          <w:b/>
          <w:bCs/>
          <w:sz w:val="22"/>
          <w:szCs w:val="22"/>
          <w:highlight w:val="none"/>
        </w:rPr>
      </w:r>
      <w:r>
        <w:rPr>
          <w:rFonts w:ascii="Gentium" w:hAnsi="Gentium"/>
          <w:b/>
          <w:bCs/>
          <w:sz w:val="22"/>
          <w:szCs w:val="22"/>
          <w:highlight w:val="none"/>
        </w:rPr>
      </w:r>
    </w:p>
    <w:p w14:paraId="1048AAEE">
      <w:pPr>
        <w:pStyle w:val="937"/>
        <w:pBdr/>
        <w:spacing/>
        <w:ind/>
        <w:rPr>
          <w:rFonts w:ascii="Gentium" w:hAnsi="Gentium"/>
          <w:b/>
          <w:bCs/>
          <w:sz w:val="22"/>
          <w:szCs w:val="22"/>
        </w:rPr>
      </w:pPr>
      <w:r>
        <w:rPr>
          <w:rFonts w:ascii="Gentium" w:hAnsi="Gentium"/>
          <w:b/>
          <w:sz w:val="22"/>
          <w:szCs w:val="22"/>
          <w:highlight w:val="none"/>
        </w:rPr>
      </w:r>
      <w:r>
        <w:rPr>
          <w:rFonts w:ascii="Gentium" w:hAnsi="Gentium"/>
          <w:b/>
          <w:bCs/>
          <w:sz w:val="22"/>
          <w:szCs w:val="22"/>
        </w:rPr>
      </w:r>
      <w:r>
        <w:rPr>
          <w:rFonts w:ascii="Gentium" w:hAnsi="Gentium"/>
          <w:b/>
          <w:bCs/>
          <w:sz w:val="22"/>
          <w:szCs w:val="22"/>
        </w:rPr>
      </w:r>
    </w:p>
    <w:tbl>
      <w:tblPr>
        <w:tblInd w:w="0" w:type="dxa"/>
        <w:tblW w:w="9962" w:type="dxa"/>
        <w:tblCellMar>
          <w:left w:w="108" w:type="dxa"/>
          <w:top w:w="0" w:type="dxa"/>
          <w:right w:w="108" w:type="dxa"/>
          <w:bottom w:w="0" w:type="dxa"/>
        </w:tblCellMar>
        <w:tblBorders/>
        <w:tblLayout w:type="fixed"/>
        <w:tblLook w:val="04A0" w:firstRow="1" w:lastRow="0" w:firstColumn="1" w:lastColumn="0" w:noHBand="0" w:noVBand="1"/>
      </w:tblPr>
      <w:tblGrid>
        <w:gridCol w:w="5083"/>
        <w:gridCol w:w="2963"/>
        <w:gridCol w:w="1916"/>
      </w:tblGrid>
      <w:tr>
        <w:trPr>
          <w:trHeight w:val="550"/>
        </w:trPr>
        <w:tc>
          <w:tcPr>
            <w:shd w:val="clear" w:color="ffffff" w:fill="d9d9d9"/>
            <w:tcBorders>
              <w:top w:val="single" w:color="000000" w:sz="4" w:space="0"/>
              <w:left w:val="single" w:color="000000" w:sz="4" w:space="0"/>
              <w:bottom w:val="single" w:color="000000" w:sz="4" w:space="0"/>
              <w:right w:val="single" w:color="000000" w:sz="4" w:space="0"/>
            </w:tcBorders>
            <w:tcW w:w="5083" w:type="dxa"/>
            <w:textDirection w:val="lrTb"/>
            <w:noWrap w:val="false"/>
          </w:tcPr>
          <w:p>
            <w:pPr>
              <w:pStyle w:val="937"/>
              <w:pBdr/>
              <w:spacing/>
              <w:ind/>
              <w:rPr>
                <w:rFonts w:ascii="Gentium" w:hAnsi="Gentium"/>
                <w:b/>
                <w:sz w:val="22"/>
                <w:szCs w:val="22"/>
              </w:rPr>
            </w:pPr>
            <w:r>
              <w:rPr>
                <w:rFonts w:ascii="Gentium" w:hAnsi="Gentium"/>
                <w:b/>
                <w:sz w:val="22"/>
                <w:szCs w:val="22"/>
              </w:rPr>
              <w:t xml:space="preserve">Curs</w:t>
            </w:r>
            <w:r>
              <w:rPr>
                <w:rFonts w:ascii="Gentium" w:hAnsi="Gentium"/>
                <w:b/>
                <w:sz w:val="22"/>
                <w:szCs w:val="22"/>
              </w:rPr>
            </w:r>
            <w:r>
              <w:rPr>
                <w:rFonts w:ascii="Gentium" w:hAnsi="Gentium"/>
                <w:b/>
                <w:sz w:val="22"/>
                <w:szCs w:val="22"/>
              </w:rPr>
            </w:r>
          </w:p>
        </w:tc>
        <w:tc>
          <w:tcPr>
            <w:shd w:val="clear" w:color="ffffff" w:fill="d9d9d9"/>
            <w:tcBorders>
              <w:top w:val="single" w:color="000000" w:sz="4" w:space="0"/>
              <w:left w:val="single" w:color="000000" w:sz="4" w:space="0"/>
              <w:bottom w:val="single" w:color="000000" w:sz="4" w:space="0"/>
              <w:right w:val="single" w:color="000000" w:sz="4" w:space="0"/>
            </w:tcBorders>
            <w:tcW w:w="2963" w:type="dxa"/>
            <w:textDirection w:val="lrTb"/>
            <w:noWrap w:val="false"/>
          </w:tcPr>
          <w:p>
            <w:pPr>
              <w:pStyle w:val="937"/>
              <w:pBdr/>
              <w:spacing/>
              <w:ind/>
              <w:rPr>
                <w:rFonts w:ascii="Gentium" w:hAnsi="Gentium"/>
                <w:b/>
                <w:sz w:val="22"/>
                <w:szCs w:val="22"/>
              </w:rPr>
            </w:pPr>
            <w:r>
              <w:rPr>
                <w:rFonts w:ascii="Gentium" w:hAnsi="Gentium"/>
                <w:b/>
                <w:sz w:val="22"/>
                <w:szCs w:val="22"/>
              </w:rPr>
              <w:t xml:space="preserve">Metode de predare</w:t>
            </w:r>
            <w:r>
              <w:rPr>
                <w:rFonts w:ascii="Gentium" w:hAnsi="Gentium"/>
                <w:b/>
                <w:sz w:val="22"/>
                <w:szCs w:val="22"/>
                <w:lang w:val="en-US"/>
              </w:rPr>
              <w:t xml:space="preserve">: prelegeri, discuții, material, prezentări</w:t>
            </w:r>
            <w:r>
              <w:rPr>
                <w:rFonts w:ascii="Gentium" w:hAnsi="Gentium"/>
                <w:b/>
                <w:sz w:val="22"/>
                <w:szCs w:val="22"/>
              </w:rPr>
            </w:r>
            <w:r>
              <w:rPr>
                <w:rFonts w:ascii="Gentium" w:hAnsi="Gentium"/>
                <w:b/>
                <w:sz w:val="22"/>
                <w:szCs w:val="22"/>
              </w:rPr>
            </w:r>
          </w:p>
        </w:tc>
        <w:tc>
          <w:tcPr>
            <w:shd w:val="clear" w:color="ffffff" w:fill="d9d9d9"/>
            <w:tcBorders>
              <w:top w:val="single" w:color="000000" w:sz="4" w:space="0"/>
              <w:left w:val="single" w:color="000000" w:sz="4" w:space="0"/>
              <w:bottom w:val="single" w:color="000000" w:sz="4" w:space="0"/>
              <w:right w:val="single" w:color="000000" w:sz="4" w:space="0"/>
            </w:tcBorders>
            <w:tcW w:w="1916" w:type="dxa"/>
            <w:textDirection w:val="lrTb"/>
            <w:noWrap w:val="false"/>
          </w:tcPr>
          <w:p>
            <w:pPr>
              <w:pStyle w:val="937"/>
              <w:pBdr/>
              <w:spacing/>
              <w:ind/>
              <w:rPr>
                <w:rFonts w:ascii="Gentium" w:hAnsi="Gentium"/>
                <w:b/>
                <w:sz w:val="22"/>
                <w:szCs w:val="22"/>
              </w:rPr>
            </w:pPr>
            <w:r>
              <w:rPr>
                <w:rFonts w:ascii="Gentium" w:hAnsi="Gentium"/>
                <w:b/>
                <w:sz w:val="22"/>
                <w:szCs w:val="22"/>
              </w:rPr>
              <w:t xml:space="preserve">Observaţii</w:t>
            </w:r>
            <w:r>
              <w:rPr>
                <w:rFonts w:ascii="Gentium" w:hAnsi="Gentium"/>
                <w:b/>
                <w:sz w:val="22"/>
                <w:szCs w:val="22"/>
              </w:rPr>
            </w:r>
            <w:r>
              <w:rPr>
                <w:rFonts w:ascii="Gentium" w:hAnsi="Gentium"/>
                <w:b/>
                <w:sz w:val="22"/>
                <w:szCs w:val="22"/>
              </w:rPr>
            </w:r>
          </w:p>
        </w:tc>
      </w:tr>
      <w:tr>
        <w:trPr>
          <w:trHeight w:val="1523"/>
        </w:trPr>
        <w:tc>
          <w:tcPr>
            <w:gridSpan w:val="3"/>
            <w:shd w:val="clear" w:color="ffffff" w:fill="ffffff"/>
            <w:tcBorders>
              <w:top w:val="single" w:color="000000" w:sz="4" w:space="0"/>
              <w:left w:val="single" w:color="000000" w:sz="4" w:space="0"/>
              <w:bottom w:val="single" w:color="000000" w:sz="4" w:space="0"/>
              <w:right w:val="single" w:color="000000" w:sz="4" w:space="0"/>
            </w:tcBorders>
            <w:tcW w:w="9962" w:type="dxa"/>
            <w:textDirection w:val="lrTb"/>
            <w:noWrap w:val="false"/>
          </w:tcPr>
          <w:p w14:paraId="3DB1AB06">
            <w:pPr>
              <w:pStyle w:val="941"/>
              <w:pBdr/>
              <w:spacing/>
              <w:ind/>
              <w:rPr>
                <w:rFonts w:ascii="Albertus" w:hAnsi="Albertus" w:cs="Albertus"/>
                <w:bCs/>
                <w:i/>
                <w:sz w:val="24"/>
                <w:szCs w:val="24"/>
                <w14:ligatures w14:val="none"/>
              </w:rPr>
            </w:pPr>
            <w:r>
              <w:rPr>
                <w:rFonts w:ascii="Albertus" w:hAnsi="Albertus" w:eastAsia="Albertus" w:cs="Albertus"/>
                <w:i/>
                <w:iCs/>
                <w:sz w:val="24"/>
                <w:szCs w:val="24"/>
              </w:rPr>
              <w:t xml:space="preserve">A. Introducere</w:t>
            </w:r>
            <w:r>
              <w:rPr>
                <w:rFonts w:ascii="Albertus" w:hAnsi="Albertus" w:eastAsia="Albertus" w:cs="Albertus"/>
                <w:i/>
                <w:iCs/>
                <w:sz w:val="24"/>
                <w:szCs w:val="24"/>
                <w:lang w:val="en-US"/>
              </w:rPr>
              <w:t xml:space="preserve">:</w:t>
            </w:r>
            <w:r>
              <w:rPr>
                <w:rFonts w:ascii="Albertus" w:hAnsi="Albertus" w:eastAsia="Albertus" w:cs="Albertus"/>
                <w:i/>
                <w:iCs/>
                <w:sz w:val="24"/>
                <w:szCs w:val="24"/>
                <w:lang w:val="ro-RO"/>
              </w:rPr>
              <w:t xml:space="preserve"> c</w:t>
            </w:r>
            <w:r>
              <w:rPr>
                <w:rFonts w:ascii="Albertus" w:hAnsi="Albertus" w:eastAsia="Albertus" w:cs="Albertus"/>
                <w:i/>
                <w:iCs/>
                <w:sz w:val="24"/>
                <w:szCs w:val="24"/>
                <w:lang w:val="en-US"/>
              </w:rPr>
              <w:t xml:space="preserve">ultur</w:t>
            </w:r>
            <w:r>
              <w:rPr>
                <w:rFonts w:ascii="Albertus" w:hAnsi="Albertus" w:eastAsia="Albertus" w:cs="Albertus"/>
                <w:i/>
                <w:iCs/>
                <w:sz w:val="24"/>
                <w:szCs w:val="24"/>
                <w:lang w:val="ro-RO"/>
              </w:rPr>
              <w:t xml:space="preserve">ă </w:t>
            </w:r>
            <w:r>
              <w:rPr>
                <w:rFonts w:ascii="Albertus" w:hAnsi="Albertus" w:eastAsia="Albertus" w:cs="Albertus"/>
                <w:i/>
                <w:iCs/>
                <w:sz w:val="24"/>
                <w:szCs w:val="24"/>
                <w:lang w:val="en-US"/>
              </w:rPr>
              <w:t xml:space="preserve">elenist</w:t>
            </w:r>
            <w:r>
              <w:rPr>
                <w:rFonts w:ascii="Albertus" w:hAnsi="Albertus" w:eastAsia="Albertus" w:cs="Albertus"/>
                <w:i/>
                <w:iCs/>
                <w:sz w:val="24"/>
                <w:szCs w:val="24"/>
                <w:lang w:val="ro-RO"/>
              </w:rPr>
              <w:t xml:space="preserve">ă în NT. Dialog și influențe reciproce.</w:t>
            </w:r>
            <w:r>
              <w:rPr>
                <w:rFonts w:ascii="Albertus" w:hAnsi="Albertus" w:eastAsia="Albertus" w:cs="Albertus"/>
                <w:i/>
                <w:iCs/>
                <w:sz w:val="24"/>
                <w:szCs w:val="24"/>
                <w:lang w:val="en-US"/>
              </w:rPr>
              <w:t xml:space="preserve"> Relevan</w:t>
            </w:r>
            <w:r>
              <w:rPr>
                <w:rFonts w:ascii="Albertus" w:hAnsi="Albertus" w:eastAsia="Albertus" w:cs="Albertus"/>
                <w:i/>
                <w:iCs/>
                <w:sz w:val="24"/>
                <w:szCs w:val="24"/>
                <w:lang w:val="ro-RO"/>
              </w:rPr>
              <w:t xml:space="preserve">ță lucrarea cu familiile și cu tinerii – dinamica socială și teologia</w:t>
            </w:r>
            <w:r>
              <w:rPr>
                <w:rFonts w:ascii="Albertus" w:hAnsi="Albertus" w:cs="Albertus"/>
                <w:bCs/>
                <w:i/>
                <w:sz w:val="24"/>
                <w:szCs w:val="24"/>
                <w14:ligatures w14:val="none"/>
              </w:rPr>
            </w:r>
            <w:r>
              <w:rPr>
                <w:rFonts w:ascii="Albertus" w:hAnsi="Albertus" w:cs="Albertus"/>
                <w:bCs/>
                <w:i/>
                <w:sz w:val="24"/>
                <w:szCs w:val="24"/>
                <w14:ligatures w14:val="none"/>
              </w:rPr>
            </w:r>
          </w:p>
          <w:p w14:paraId="3CE25D01">
            <w:pPr>
              <w:pBdr/>
              <w:spacing/>
              <w:ind/>
              <w:rPr>
                <w:sz w:val="22"/>
                <w:szCs w:val="22"/>
                <w:highlight w:val="none"/>
              </w:rPr>
            </w:pPr>
            <w:r>
              <w:rPr>
                <w:sz w:val="22"/>
                <w:szCs w:val="22"/>
              </w:rPr>
              <w:t xml:space="preserve">Influențe reciproce, fenomene comune, context general. Fenomene concurente în timpul scrierii NT și a deciderii canonului NT: 1. atticismul ca reîntoarcere la o cultură elenistă pură, 2. dezvoltarea culturii și literaturii latine și tra</w:t>
            </w:r>
            <w:r>
              <w:rPr>
                <w:sz w:val="22"/>
                <w:szCs w:val="22"/>
              </w:rPr>
              <w:t xml:space="preserve">ducerea Vulgata, 3. scrierea Talmudului ca alternativă la interpretarea VT în NT, 4. dezvoltarea legendelor de taumaturgi moderni (Apollonius din Tyana), 5. interacția cu gnosticismul și delimitarea de el, 6. interacția cu religiile misterelor grecești și </w:t>
            </w:r>
            <w:r>
              <w:rPr>
                <w:sz w:val="22"/>
                <w:szCs w:val="22"/>
              </w:rPr>
              <w:t xml:space="preserve">iranieni și delimitarea de ele (Mithra, Bachus, misterele din Eleusis), 7. sintezele neoplatoniste, 8. definirea crezului creștin și a canonului (Niceea, Chalcedon, erezia lui Arius, Constantin cel Mare și medierea neînțelegerilor teologice în creștinism).</w:t>
            </w:r>
            <w:r>
              <w:rPr>
                <w:sz w:val="22"/>
                <w:szCs w:val="22"/>
                <w:highlight w:val="none"/>
              </w:rPr>
            </w:r>
            <w:r>
              <w:rPr>
                <w:sz w:val="22"/>
                <w:szCs w:val="22"/>
                <w:highlight w:val="none"/>
              </w:rPr>
            </w:r>
          </w:p>
          <w:p w14:paraId="4C24D834">
            <w:pPr>
              <w:pBdr/>
              <w:spacing/>
              <w:ind/>
              <w:rPr>
                <w:sz w:val="22"/>
                <w:szCs w:val="22"/>
                <w:highlight w:val="none"/>
              </w:rPr>
            </w:pPr>
            <w:r>
              <w:rPr>
                <w:sz w:val="22"/>
                <w:szCs w:val="22"/>
                <w:highlight w:val="none"/>
              </w:rPr>
            </w:r>
            <w:r>
              <w:rPr>
                <w:sz w:val="22"/>
                <w:szCs w:val="22"/>
                <w:highlight w:val="none"/>
              </w:rPr>
            </w:r>
            <w:r>
              <w:rPr>
                <w:sz w:val="22"/>
                <w:szCs w:val="22"/>
                <w:highlight w:val="none"/>
              </w:rPr>
            </w:r>
          </w:p>
          <w:p w14:paraId="41FDB679">
            <w:pPr>
              <w:pStyle w:val="937"/>
              <w:pBdr/>
              <w:shd w:val="nil" w:color="000000"/>
              <w:spacing/>
              <w:ind/>
              <w:rPr>
                <w:rFonts w:ascii="Gentium" w:hAnsi="Gentium"/>
                <w:sz w:val="22"/>
                <w:szCs w:val="22"/>
              </w:rPr>
            </w:pPr>
            <w:r>
              <w:rPr>
                <w:rFonts w:ascii="Gentium" w:hAnsi="Gentium"/>
                <w:sz w:val="22"/>
                <w:szCs w:val="22"/>
              </w:rPr>
              <w:t xml:space="preserve">În lumea elenistă, aria culturală influențată de Alexandru Macedon și cuceririle sale, limba de comunicare era greaca zisă comună (</w:t>
            </w:r>
            <w:r>
              <w:rPr>
                <w:rFonts w:ascii="Gentium" w:hAnsi="Gentium"/>
                <w:i/>
                <w:iCs/>
                <w:sz w:val="22"/>
                <w:szCs w:val="22"/>
              </w:rPr>
              <w:t xml:space="preserve">koine</w:t>
            </w:r>
            <w:r>
              <w:rPr>
                <w:rFonts w:ascii="Gentium" w:hAnsi="Gentium"/>
                <w:sz w:val="22"/>
                <w:szCs w:val="22"/>
              </w:rPr>
              <w:t xml:space="preserve">). Romanii o acceptau și ei, </w:t>
            </w:r>
            <w:r>
              <w:rPr>
                <w:rFonts w:ascii="Gentium" w:hAnsi="Gentium"/>
                <w:sz w:val="22"/>
                <w:szCs w:val="22"/>
                <w:lang w:val="en-US"/>
              </w:rPr>
              <w:t xml:space="preserve"> </w:t>
            </w:r>
            <w:r>
              <w:rPr>
                <w:rFonts w:ascii="Gentium" w:hAnsi="Gentium"/>
                <w:b/>
                <w:bCs/>
                <w:i/>
                <w:iCs/>
                <w:sz w:val="22"/>
                <w:szCs w:val="22"/>
                <w:lang w:val="en-US"/>
              </w:rPr>
              <w:t xml:space="preserve">limba </w:t>
            </w:r>
            <w:r>
              <w:rPr>
                <w:rFonts w:ascii="Gentium" w:hAnsi="Gentium"/>
                <w:b/>
                <w:bCs/>
                <w:i/>
                <w:iCs/>
                <w:sz w:val="22"/>
                <w:szCs w:val="22"/>
              </w:rPr>
              <w:t xml:space="preserve">latină</w:t>
            </w:r>
            <w:r>
              <w:rPr>
                <w:rFonts w:ascii="Gentium" w:hAnsi="Gentium"/>
                <w:sz w:val="22"/>
                <w:szCs w:val="22"/>
              </w:rPr>
              <w:t xml:space="preserve"> era de abia la începuturile culturii sale ridicate.</w:t>
            </w:r>
            <w:r>
              <w:rPr>
                <w:rFonts w:ascii="Gentium" w:hAnsi="Gentium"/>
                <w:sz w:val="22"/>
                <w:szCs w:val="22"/>
              </w:rPr>
            </w:r>
            <w:r>
              <w:rPr>
                <w:rFonts w:ascii="Gentium" w:hAnsi="Gentium"/>
                <w:sz w:val="22"/>
                <w:szCs w:val="22"/>
              </w:rPr>
            </w:r>
          </w:p>
          <w:p w14:paraId="0BB42CBA">
            <w:pPr>
              <w:pStyle w:val="937"/>
              <w:pBdr/>
              <w:shd w:val="nil" w:color="000000"/>
              <w:spacing/>
              <w:ind/>
              <w:rPr>
                <w:rFonts w:ascii="Gentium" w:hAnsi="Gentium"/>
                <w:sz w:val="22"/>
                <w:szCs w:val="22"/>
              </w:rPr>
            </w:pPr>
            <w:r>
              <w:rPr>
                <w:rFonts w:ascii="Gentium" w:hAnsi="Gentium"/>
                <w:sz w:val="22"/>
                <w:szCs w:val="22"/>
              </w:rPr>
            </w:r>
            <w:r>
              <w:rPr>
                <w:rFonts w:ascii="Gentium" w:hAnsi="Gentium"/>
                <w:sz w:val="22"/>
                <w:szCs w:val="22"/>
              </w:rPr>
            </w:r>
            <w:r>
              <w:rPr>
                <w:rFonts w:ascii="Gentium" w:hAnsi="Gentium"/>
                <w:sz w:val="22"/>
                <w:szCs w:val="22"/>
              </w:rPr>
            </w:r>
          </w:p>
          <w:p w14:paraId="1C39C2AC">
            <w:pPr>
              <w:pStyle w:val="937"/>
              <w:pBdr/>
              <w:shd w:val="nil" w:color="000000"/>
              <w:spacing/>
              <w:ind/>
              <w:rPr>
                <w:rFonts w:ascii="Gentium" w:hAnsi="Gentium"/>
                <w:sz w:val="22"/>
                <w:szCs w:val="22"/>
              </w:rPr>
            </w:pPr>
            <w:r>
              <w:rPr>
                <w:rFonts w:ascii="Gentium" w:hAnsi="Gentium"/>
                <w:sz w:val="22"/>
                <w:szCs w:val="22"/>
              </w:rPr>
              <w:t xml:space="preserve">Ca fenomen lingvistic asociat în Grecia și Alexandria se dezvoltă</w:t>
            </w:r>
            <w:r>
              <w:rPr>
                <w:rFonts w:ascii="Gentium" w:hAnsi="Gentium"/>
                <w:b/>
                <w:bCs/>
                <w:sz w:val="22"/>
                <w:szCs w:val="22"/>
              </w:rPr>
              <w:t xml:space="preserve"> </w:t>
            </w:r>
            <w:r>
              <w:rPr>
                <w:rFonts w:ascii="Gentium" w:hAnsi="Gentium"/>
                <w:b/>
                <w:bCs/>
                <w:i/>
                <w:iCs/>
                <w:sz w:val="22"/>
                <w:szCs w:val="22"/>
              </w:rPr>
              <w:t xml:space="preserve">atticismul</w:t>
            </w:r>
            <w:r>
              <w:rPr>
                <w:rFonts w:ascii="Gentium" w:hAnsi="Gentium"/>
                <w:b/>
                <w:bCs/>
                <w:sz w:val="22"/>
                <w:szCs w:val="22"/>
              </w:rPr>
              <w:t xml:space="preserve">.</w:t>
            </w:r>
            <w:r>
              <w:rPr>
                <w:rFonts w:ascii="Gentium" w:hAnsi="Gentium"/>
                <w:sz w:val="22"/>
                <w:szCs w:val="22"/>
              </w:rPr>
              <w:t xml:space="preserve"> Între timp în Roma se dezvoltă literatura romană, de limbă latină, care începe să prospere în același timp cu scrierea NT și dezvoltarea creștinismului. </w:t>
            </w:r>
            <w:r>
              <w:rPr>
                <w:rFonts w:ascii="Gentium" w:hAnsi="Gentium"/>
                <w:sz w:val="22"/>
                <w:szCs w:val="22"/>
              </w:rPr>
            </w:r>
            <w:r>
              <w:rPr>
                <w:rFonts w:ascii="Gentium" w:hAnsi="Gentium"/>
                <w:sz w:val="22"/>
                <w:szCs w:val="22"/>
              </w:rPr>
            </w:r>
          </w:p>
          <w:p w14:paraId="16635803">
            <w:pPr>
              <w:pStyle w:val="937"/>
              <w:pBdr/>
              <w:shd w:val="nil" w:color="000000"/>
              <w:spacing/>
              <w:ind/>
              <w:rPr>
                <w:rFonts w:ascii="Gentium" w:hAnsi="Gentium"/>
                <w:sz w:val="22"/>
                <w:szCs w:val="22"/>
                <w:highlight w:val="none"/>
              </w:rPr>
            </w:pPr>
            <w:r>
              <w:rPr>
                <w:rFonts w:ascii="Gentium" w:hAnsi="Gentium"/>
                <w:sz w:val="22"/>
                <w:szCs w:val="22"/>
              </w:rPr>
            </w:r>
            <w:r>
              <w:rPr>
                <w:rFonts w:ascii="Gentium" w:hAnsi="Gentium"/>
                <w:sz w:val="22"/>
                <w:szCs w:val="22"/>
                <w:highlight w:val="none"/>
              </w:rPr>
            </w:r>
            <w:r>
              <w:rPr>
                <w:rFonts w:ascii="Gentium" w:hAnsi="Gentium"/>
                <w:sz w:val="22"/>
                <w:szCs w:val="22"/>
                <w:highlight w:val="none"/>
              </w:rPr>
            </w:r>
          </w:p>
          <w:p w14:paraId="7A69D5E0">
            <w:pPr>
              <w:pStyle w:val="937"/>
              <w:pBdr/>
              <w:shd w:val="nil" w:color="000000"/>
              <w:spacing/>
              <w:ind/>
              <w:rPr>
                <w:rFonts w:ascii="Gentium" w:hAnsi="Gentium"/>
                <w:sz w:val="22"/>
                <w:szCs w:val="22"/>
                <w:highlight w:val="none"/>
              </w:rPr>
            </w:pPr>
            <w:r>
              <w:rPr>
                <w:rFonts w:ascii="Gentium" w:hAnsi="Gentium"/>
                <w:sz w:val="22"/>
                <w:szCs w:val="22"/>
              </w:rPr>
              <w:t xml:space="preserve">În același timp, se dezvoltă și literatura </w:t>
            </w:r>
            <w:r>
              <w:rPr>
                <w:rFonts w:ascii="Gentium" w:hAnsi="Gentium"/>
                <w:b/>
                <w:bCs/>
                <w:i/>
                <w:iCs/>
                <w:sz w:val="22"/>
                <w:szCs w:val="22"/>
              </w:rPr>
              <w:t xml:space="preserve">talmudică, </w:t>
            </w:r>
            <w:r>
              <w:rPr>
                <w:rFonts w:ascii="Gentium" w:hAnsi="Gentium"/>
                <w:sz w:val="22"/>
                <w:szCs w:val="22"/>
              </w:rPr>
              <w:t xml:space="preserve">în contrast cu reinterpretările iudaismului și ale VT, promovate de Biserică.</w:t>
            </w:r>
            <w:r>
              <w:rPr>
                <w:rFonts w:ascii="Gentium" w:hAnsi="Gentium"/>
                <w:sz w:val="22"/>
                <w:szCs w:val="22"/>
                <w:highlight w:val="none"/>
              </w:rPr>
            </w:r>
            <w:r>
              <w:rPr>
                <w:rFonts w:ascii="Gentium" w:hAnsi="Gentium"/>
                <w:sz w:val="22"/>
                <w:szCs w:val="22"/>
                <w:highlight w:val="none"/>
              </w:rPr>
            </w:r>
          </w:p>
          <w:p w14:paraId="0C4100C0">
            <w:pPr>
              <w:pStyle w:val="937"/>
              <w:pBdr/>
              <w:shd w:val="nil" w:color="000000"/>
              <w:spacing/>
              <w:ind/>
              <w:rPr>
                <w:rFonts w:ascii="Gentium" w:hAnsi="Gentium"/>
                <w:sz w:val="22"/>
                <w:szCs w:val="22"/>
              </w:rPr>
            </w:pPr>
            <w:r>
              <w:rPr>
                <w:rFonts w:ascii="Gentium" w:hAnsi="Gentium"/>
                <w:sz w:val="22"/>
                <w:szCs w:val="22"/>
              </w:rPr>
            </w:r>
            <w:r>
              <w:rPr>
                <w:rFonts w:ascii="Gentium" w:hAnsi="Gentium"/>
                <w:sz w:val="22"/>
                <w:szCs w:val="22"/>
              </w:rPr>
            </w:r>
            <w:r>
              <w:rPr>
                <w:rFonts w:ascii="Gentium" w:hAnsi="Gentium"/>
                <w:sz w:val="22"/>
                <w:szCs w:val="22"/>
              </w:rPr>
            </w:r>
          </w:p>
          <w:p w14:paraId="3C8C7A95">
            <w:pPr>
              <w:pStyle w:val="937"/>
              <w:pBdr/>
              <w:shd w:val="nil" w:color="000000"/>
              <w:spacing/>
              <w:ind/>
              <w:rPr>
                <w:rFonts w:ascii="Gentium" w:hAnsi="Gentium"/>
                <w:sz w:val="22"/>
                <w:szCs w:val="22"/>
                <w:highlight w:val="none"/>
              </w:rPr>
            </w:pPr>
            <w:r>
              <w:rPr>
                <w:rFonts w:ascii="Gentium" w:hAnsi="Gentium"/>
                <w:sz w:val="22"/>
                <w:szCs w:val="22"/>
              </w:rPr>
              <w:t xml:space="preserve">Curentele filosofice din timpul NT. </w:t>
            </w:r>
            <w:r>
              <w:rPr>
                <w:rFonts w:ascii="Gentium" w:hAnsi="Gentium"/>
                <w:sz w:val="22"/>
                <w:szCs w:val="22"/>
                <w:highlight w:val="none"/>
              </w:rPr>
            </w:r>
            <w:r>
              <w:rPr>
                <w:rFonts w:ascii="Gentium" w:hAnsi="Gentium"/>
                <w:sz w:val="22"/>
                <w:szCs w:val="22"/>
                <w:highlight w:val="none"/>
              </w:rPr>
            </w:r>
          </w:p>
          <w:p w14:paraId="473E4DEF">
            <w:pPr>
              <w:pStyle w:val="937"/>
              <w:pBdr/>
              <w:shd w:val="nil" w:color="000000"/>
              <w:spacing/>
              <w:ind/>
              <w:rPr>
                <w:rFonts w:ascii="Gentium" w:hAnsi="Gentium"/>
                <w:sz w:val="22"/>
                <w:szCs w:val="22"/>
                <w:highlight w:val="none"/>
              </w:rPr>
            </w:pPr>
            <w:r>
              <w:rPr>
                <w:rFonts w:ascii="Gentium" w:hAnsi="Gentium"/>
                <w:sz w:val="22"/>
                <w:szCs w:val="22"/>
              </w:rPr>
              <w:t xml:space="preserve">Etapele filosofiei grecești. Curente grecești filosofice. Platonism, stoicism, epicureism, cinicism, </w:t>
            </w:r>
            <w:r>
              <w:rPr>
                <w:rFonts w:ascii="Gentium" w:hAnsi="Gentium"/>
                <w:b/>
                <w:bCs/>
                <w:i/>
                <w:iCs/>
                <w:sz w:val="22"/>
                <w:szCs w:val="22"/>
              </w:rPr>
              <w:t xml:space="preserve">neoplatonism</w:t>
            </w:r>
            <w:r>
              <w:rPr>
                <w:rFonts w:ascii="Gentium" w:hAnsi="Gentium"/>
                <w:sz w:val="22"/>
                <w:szCs w:val="22"/>
              </w:rPr>
              <w:t xml:space="preserve">. </w:t>
            </w:r>
            <w:r>
              <w:rPr>
                <w:rFonts w:ascii="Gentium" w:hAnsi="Gentium"/>
                <w:sz w:val="22"/>
                <w:szCs w:val="22"/>
                <w:highlight w:val="none"/>
              </w:rPr>
            </w:r>
            <w:r>
              <w:rPr>
                <w:rFonts w:ascii="Gentium" w:hAnsi="Gentium"/>
                <w:sz w:val="22"/>
                <w:szCs w:val="22"/>
                <w:highlight w:val="none"/>
              </w:rPr>
            </w:r>
          </w:p>
          <w:p w14:paraId="1873D4C7">
            <w:pPr>
              <w:pStyle w:val="937"/>
              <w:pBdr/>
              <w:shd w:val="nil" w:color="000000"/>
              <w:spacing/>
              <w:ind/>
              <w:rPr>
                <w:rFonts w:ascii="Gentium" w:hAnsi="Gentium"/>
                <w:sz w:val="22"/>
                <w:szCs w:val="22"/>
              </w:rPr>
            </w:pPr>
            <w:r>
              <w:rPr>
                <w:rFonts w:ascii="Gentium" w:hAnsi="Gentium"/>
                <w:sz w:val="22"/>
                <w:szCs w:val="22"/>
              </w:rPr>
            </w:r>
            <w:r>
              <w:rPr>
                <w:rFonts w:ascii="Gentium" w:hAnsi="Gentium"/>
                <w:sz w:val="22"/>
                <w:szCs w:val="22"/>
              </w:rPr>
            </w:r>
            <w:r>
              <w:rPr>
                <w:rFonts w:ascii="Gentium" w:hAnsi="Gentium"/>
                <w:sz w:val="22"/>
                <w:szCs w:val="22"/>
              </w:rPr>
            </w:r>
          </w:p>
          <w:p w14:paraId="1008DF9E">
            <w:pPr>
              <w:pStyle w:val="937"/>
              <w:pBdr/>
              <w:shd w:val="nil" w:color="000000"/>
              <w:spacing/>
              <w:ind/>
              <w:rPr>
                <w:rFonts w:ascii="Gentium" w:hAnsi="Gentium"/>
                <w:sz w:val="22"/>
                <w:szCs w:val="22"/>
                <w:highlight w:val="none"/>
              </w:rPr>
            </w:pPr>
            <w:r>
              <w:rPr>
                <w:rFonts w:ascii="Gentium" w:hAnsi="Gentium"/>
                <w:sz w:val="22"/>
                <w:szCs w:val="22"/>
              </w:rPr>
              <w:t xml:space="preserve">Diferențe culturale esențiale: greci și barbari, romani și greci, bărbați și femei, </w:t>
            </w:r>
            <w:r>
              <w:rPr>
                <w:rFonts w:ascii="Gentium" w:hAnsi="Gentium"/>
                <w:b/>
                <w:bCs/>
                <w:i/>
                <w:iCs/>
                <w:sz w:val="22"/>
                <w:szCs w:val="22"/>
              </w:rPr>
              <w:t xml:space="preserve">sclavi și liberi și stăpâni de sclavi.</w:t>
            </w:r>
            <w:r>
              <w:rPr>
                <w:rFonts w:ascii="Gentium" w:hAnsi="Gentium"/>
                <w:sz w:val="22"/>
                <w:szCs w:val="22"/>
              </w:rPr>
              <w:t xml:space="preserve"> Internaționalismul roman și centralizarea vieții religioase la Roma sub conducerea lui Cezar pontifex.</w:t>
            </w:r>
            <w:r>
              <w:rPr>
                <w:rFonts w:ascii="Gentium" w:hAnsi="Gentium"/>
                <w:sz w:val="22"/>
                <w:szCs w:val="22"/>
                <w:highlight w:val="none"/>
              </w:rPr>
            </w:r>
            <w:r>
              <w:rPr>
                <w:rFonts w:ascii="Gentium" w:hAnsi="Gentium"/>
                <w:sz w:val="22"/>
                <w:szCs w:val="22"/>
                <w:highlight w:val="none"/>
              </w:rPr>
            </w:r>
          </w:p>
          <w:p w14:paraId="75BDF3FB">
            <w:pPr>
              <w:pStyle w:val="937"/>
              <w:pBdr/>
              <w:shd w:val="nil" w:color="000000"/>
              <w:spacing/>
              <w:ind/>
              <w:rPr>
                <w:rFonts w:ascii="Gentium" w:hAnsi="Gentium"/>
                <w:sz w:val="22"/>
                <w:szCs w:val="22"/>
              </w:rPr>
            </w:pPr>
            <w:r>
              <w:rPr>
                <w:rFonts w:ascii="Gentium" w:hAnsi="Gentium"/>
                <w:sz w:val="22"/>
                <w:szCs w:val="22"/>
              </w:rPr>
            </w:r>
            <w:r>
              <w:rPr>
                <w:rFonts w:ascii="Gentium" w:hAnsi="Gentium"/>
                <w:sz w:val="22"/>
                <w:szCs w:val="22"/>
              </w:rPr>
            </w:r>
            <w:r>
              <w:rPr>
                <w:rFonts w:ascii="Gentium" w:hAnsi="Gentium"/>
                <w:sz w:val="22"/>
                <w:szCs w:val="22"/>
              </w:rPr>
            </w:r>
          </w:p>
          <w:p w14:paraId="09E03817">
            <w:pPr>
              <w:pStyle w:val="937"/>
              <w:pBdr/>
              <w:shd w:val="nil" w:color="000000"/>
              <w:spacing/>
              <w:ind/>
              <w:rPr>
                <w:rFonts w:ascii="Gentium" w:hAnsi="Gentium"/>
                <w:sz w:val="22"/>
                <w:szCs w:val="22"/>
              </w:rPr>
            </w:pPr>
            <w:r>
              <w:rPr>
                <w:rFonts w:ascii="Gentium" w:hAnsi="Gentium"/>
                <w:sz w:val="22"/>
                <w:szCs w:val="22"/>
              </w:rPr>
              <w:t xml:space="preserve">Sociale – politice: creștinii și familia antică, creștinii și statul (imperiul), creștinii și sclavagismul, creștinii și teatrul (cultura), creștinii și știința, creștinii și identitatea de gen,</w:t>
            </w:r>
            <w:r>
              <w:rPr>
                <w:rFonts w:ascii="Gentium" w:hAnsi="Gentium"/>
                <w:sz w:val="22"/>
                <w:szCs w:val="22"/>
              </w:rPr>
            </w:r>
            <w:r>
              <w:rPr>
                <w:rFonts w:ascii="Gentium" w:hAnsi="Gentium"/>
                <w:sz w:val="22"/>
                <w:szCs w:val="22"/>
              </w:rPr>
            </w:r>
          </w:p>
          <w:p w14:paraId="322A89D6">
            <w:pPr>
              <w:pStyle w:val="937"/>
              <w:pBdr/>
              <w:shd w:val="nil" w:color="000000"/>
              <w:spacing/>
              <w:ind/>
              <w:rPr>
                <w:rFonts w:ascii="Gentium" w:hAnsi="Gentium"/>
                <w:sz w:val="22"/>
                <w:szCs w:val="22"/>
              </w:rPr>
            </w:pPr>
            <w:r>
              <w:rPr>
                <w:rFonts w:ascii="Gentium" w:hAnsi="Gentium"/>
                <w:sz w:val="22"/>
                <w:szCs w:val="22"/>
              </w:rPr>
            </w:r>
            <w:r>
              <w:rPr>
                <w:rFonts w:ascii="Gentium" w:hAnsi="Gentium"/>
                <w:sz w:val="22"/>
                <w:szCs w:val="22"/>
              </w:rPr>
            </w:r>
            <w:r>
              <w:rPr>
                <w:rFonts w:ascii="Gentium" w:hAnsi="Gentium"/>
                <w:sz w:val="22"/>
                <w:szCs w:val="22"/>
              </w:rPr>
            </w:r>
          </w:p>
          <w:p w14:paraId="485864E7">
            <w:pPr>
              <w:pStyle w:val="937"/>
              <w:pBdr/>
              <w:shd w:val="nil" w:color="000000"/>
              <w:spacing/>
              <w:ind/>
              <w:rPr>
                <w:rFonts w:ascii="Gentium" w:hAnsi="Gentium"/>
                <w:sz w:val="22"/>
                <w:szCs w:val="22"/>
                <w:highlight w:val="none"/>
              </w:rPr>
            </w:pPr>
            <w:r>
              <w:rPr>
                <w:rFonts w:ascii="Gentium" w:hAnsi="Gentium"/>
                <w:sz w:val="22"/>
                <w:szCs w:val="22"/>
              </w:rPr>
              <w:t xml:space="preserve">În ciuda persecuțiilor, creștinismul s-a răspândit foarte rapid. În primele trei secole creștinii au ajuns să reprezinte aproximativ 15% din imperiul roman. </w:t>
            </w:r>
            <w:r>
              <w:rPr>
                <w:rFonts w:ascii="Gentium" w:hAnsi="Gentium"/>
                <w:sz w:val="22"/>
                <w:szCs w:val="22"/>
                <w:highlight w:val="none"/>
              </w:rPr>
            </w:r>
            <w:r>
              <w:rPr>
                <w:rFonts w:ascii="Gentium" w:hAnsi="Gentium"/>
                <w:sz w:val="22"/>
                <w:szCs w:val="22"/>
                <w:highlight w:val="none"/>
              </w:rPr>
            </w:r>
          </w:p>
          <w:p w14:paraId="0BBE09E3">
            <w:pPr>
              <w:pStyle w:val="937"/>
              <w:pBdr/>
              <w:shd w:val="nil" w:color="000000"/>
              <w:spacing/>
              <w:ind/>
              <w:rPr>
                <w:rFonts w:ascii="Gentium" w:hAnsi="Gentium"/>
                <w:sz w:val="22"/>
                <w:szCs w:val="22"/>
              </w:rPr>
            </w:pPr>
            <w:r>
              <w:rPr>
                <w:rFonts w:ascii="Gentium" w:hAnsi="Gentium"/>
                <w:sz w:val="22"/>
                <w:szCs w:val="22"/>
              </w:rPr>
            </w:r>
            <w:r>
              <w:rPr>
                <w:rFonts w:ascii="Gentium" w:hAnsi="Gentium"/>
                <w:sz w:val="22"/>
                <w:szCs w:val="22"/>
              </w:rPr>
            </w:r>
            <w:r>
              <w:rPr>
                <w:rFonts w:ascii="Gentium" w:hAnsi="Gentium"/>
                <w:sz w:val="22"/>
                <w:szCs w:val="22"/>
              </w:rPr>
            </w:r>
          </w:p>
          <w:p w14:paraId="0299E982">
            <w:pPr>
              <w:pStyle w:val="937"/>
              <w:pBdr/>
              <w:shd w:val="nil" w:color="000000"/>
              <w:spacing/>
              <w:ind/>
              <w:rPr>
                <w:rFonts w:ascii="Gentium" w:hAnsi="Gentium"/>
                <w:sz w:val="22"/>
                <w:szCs w:val="22"/>
                <w:highlight w:val="none"/>
              </w:rPr>
            </w:pPr>
            <w:r>
              <w:rPr>
                <w:rFonts w:ascii="Gentium" w:hAnsi="Gentium"/>
                <w:sz w:val="22"/>
                <w:szCs w:val="22"/>
              </w:rPr>
              <w:t xml:space="preserve">Interacțiuni culturale: gnosticismul,  religiile misterelor. Sinteze neoplatoniciste: arianism, origenism, școala de la Alexandria și trinitarianismul. Creștinismul și practicile magice și medicale. </w:t>
            </w:r>
            <w:r>
              <w:rPr>
                <w:rFonts w:ascii="Gentium" w:hAnsi="Gentium"/>
                <w:sz w:val="22"/>
                <w:szCs w:val="22"/>
                <w:highlight w:val="none"/>
              </w:rPr>
            </w:r>
            <w:r>
              <w:rPr>
                <w:rFonts w:ascii="Gentium" w:hAnsi="Gentium"/>
                <w:sz w:val="22"/>
                <w:szCs w:val="22"/>
                <w:highlight w:val="none"/>
              </w:rPr>
            </w:r>
          </w:p>
          <w:p w14:paraId="2F7BF6CE">
            <w:pPr>
              <w:pBdr/>
              <w:shd w:val="nil" w:color="000000"/>
              <w:spacing/>
              <w:ind/>
              <w:rPr>
                <w:rFonts w:ascii="Gentium" w:hAnsi="Gentium"/>
                <w:sz w:val="22"/>
                <w:szCs w:val="22"/>
                <w:highlight w:val="none"/>
              </w:rPr>
            </w:pPr>
            <w:r>
              <w:rPr>
                <w:rFonts w:ascii="Gentium" w:hAnsi="Gentium"/>
                <w:sz w:val="22"/>
                <w:szCs w:val="22"/>
                <w:highlight w:val="none"/>
              </w:rPr>
            </w:r>
            <w:r>
              <w:rPr>
                <w:rFonts w:ascii="Gentium" w:hAnsi="Gentium"/>
                <w:sz w:val="22"/>
                <w:szCs w:val="22"/>
                <w:highlight w:val="none"/>
              </w:rPr>
            </w:r>
            <w:r>
              <w:rPr>
                <w:rFonts w:ascii="Gentium" w:hAnsi="Gentium"/>
                <w:sz w:val="22"/>
                <w:szCs w:val="22"/>
                <w:highlight w:val="none"/>
              </w:rPr>
            </w:r>
          </w:p>
          <w:p w14:paraId="696C5B44">
            <w:pPr>
              <w:pBdr/>
              <w:shd w:val="nil" w:color="000000"/>
              <w:spacing/>
              <w:ind/>
              <w:rPr>
                <w:rFonts w:ascii="Gentium" w:hAnsi="Gentium"/>
                <w:b/>
                <w:bCs/>
                <w:sz w:val="22"/>
                <w:szCs w:val="22"/>
                <w:highlight w:val="none"/>
              </w:rPr>
            </w:pPr>
            <w:r>
              <w:rPr>
                <w:rFonts w:ascii="Gentium" w:hAnsi="Gentium"/>
                <w:b/>
                <w:bCs/>
                <w:sz w:val="22"/>
                <w:szCs w:val="22"/>
                <w:highlight w:val="none"/>
                <w:lang w:val="en-US"/>
              </w:rPr>
              <w:t xml:space="preserve">Bibliografie orientativa</w:t>
            </w:r>
            <w:r>
              <w:rPr>
                <w:rFonts w:ascii="Gentium" w:hAnsi="Gentium"/>
                <w:b/>
                <w:bCs/>
                <w:sz w:val="22"/>
                <w:szCs w:val="22"/>
                <w:highlight w:val="none"/>
              </w:rPr>
            </w:r>
            <w:r>
              <w:rPr>
                <w:rFonts w:ascii="Gentium" w:hAnsi="Gentium"/>
                <w:b/>
                <w:bCs/>
                <w:sz w:val="22"/>
                <w:szCs w:val="22"/>
                <w:highlight w:val="none"/>
              </w:rPr>
            </w:r>
          </w:p>
          <w:p w14:paraId="6312ABF6">
            <w:pPr>
              <w:pBdr/>
              <w:shd w:val="nil" w:color="000000"/>
              <w:spacing/>
              <w:ind/>
              <w:rPr>
                <w:rFonts w:ascii="Gentium" w:hAnsi="Gentium"/>
                <w:sz w:val="22"/>
                <w:szCs w:val="22"/>
                <w:highlight w:val="none"/>
              </w:rPr>
            </w:pPr>
            <w:r>
              <w:rPr>
                <w:rFonts w:ascii="Gentium" w:hAnsi="Gentium"/>
                <w:b/>
                <w:bCs/>
                <w:sz w:val="22"/>
                <w:szCs w:val="22"/>
                <w:highlight w:val="none"/>
                <w:lang w:val="en-US"/>
              </w:rPr>
            </w:r>
            <w:r>
              <w:rPr>
                <w:rFonts w:ascii="Gentium" w:hAnsi="Gentium"/>
                <w:sz w:val="22"/>
                <w:szCs w:val="22"/>
                <w:highlight w:val="none"/>
              </w:rPr>
            </w:r>
            <w:r>
              <w:rPr>
                <w:rFonts w:ascii="Gentium" w:hAnsi="Gentium"/>
                <w:sz w:val="22"/>
                <w:szCs w:val="22"/>
                <w:highlight w:val="none"/>
              </w:rPr>
            </w:r>
          </w:p>
          <w:p w14:paraId="558EBE59">
            <w:pPr>
              <w:pBdr/>
              <w:shd w:val="nil" w:color="000000"/>
              <w:spacing/>
              <w:ind/>
              <w:rPr>
                <w:highlight w:val="none"/>
              </w:rPr>
            </w:pPr>
            <w:r>
              <w:rPr>
                <w:rFonts w:ascii="Gentium" w:hAnsi="Gentium"/>
                <w:sz w:val="22"/>
                <w:szCs w:val="22"/>
                <w:highlight w:val="none"/>
              </w:rPr>
            </w:r>
            <w:r>
              <w:t xml:space="preserve">Philostratus, </w:t>
            </w:r>
            <w:r>
              <w:rPr>
                <w:i/>
                <w:iCs/>
              </w:rPr>
              <w:t xml:space="preserve">Apollonius din Tyana</w:t>
            </w:r>
            <w:r>
              <w:t xml:space="preserve">, (TA EK TON TYANEA APOLLWNION, F.C. Conybeare, Loeb Classical Library,1969) © by Iași: Polirom, 1997, 8-14.</w:t>
            </w:r>
            <w:r>
              <w:rPr>
                <w:highlight w:val="none"/>
              </w:rPr>
            </w:r>
            <w:r>
              <w:rPr>
                <w:highlight w:val="none"/>
              </w:rPr>
            </w:r>
          </w:p>
          <w:p w14:paraId="248640C9">
            <w:pPr>
              <w:pBdr/>
              <w:shd w:val="nil" w:color="000000"/>
              <w:spacing/>
              <w:ind/>
              <w:rPr>
                <w:highlight w:val="none"/>
              </w:rPr>
            </w:pPr>
            <w:r>
              <w:rPr>
                <w:highlight w:val="none"/>
              </w:rPr>
            </w:r>
            <w:r>
              <w:rPr>
                <w:highlight w:val="none"/>
              </w:rPr>
            </w:r>
            <w:r>
              <w:rPr>
                <w:highlight w:val="none"/>
              </w:rPr>
            </w:r>
          </w:p>
          <w:p w14:paraId="36279A42">
            <w:pPr>
              <w:pBdr/>
              <w:shd w:val="nil" w:color="000000"/>
              <w:spacing/>
              <w:ind/>
              <w:rPr>
                <w:highlight w:val="none"/>
              </w:rPr>
            </w:pPr>
            <w:r>
              <w:rPr>
                <w:highlight w:val="none"/>
                <w:lang w:val="en-US"/>
              </w:rPr>
            </w:r>
            <w:hyperlink r:id="rId16" w:tooltip="http://obinfonet.ro/docs/nt-cultura/ntcma-res/Among the Gentiles Greco-Roman Religion and Christianity - Johnson.pdf" w:history="1">
              <w:r>
                <w:rPr>
                  <w:rStyle w:val="976"/>
                  <w:highlight w:val="none"/>
                  <w:lang w:val="en-US"/>
                </w:rPr>
                <w:t xml:space="preserve">Johnson, Among the Gentiles Greco-Roman Religion and Christianity</w:t>
              </w:r>
            </w:hyperlink>
            <w:r>
              <w:rPr>
                <w:highlight w:val="none"/>
              </w:rPr>
            </w:r>
            <w:r>
              <w:rPr>
                <w:highlight w:val="none"/>
              </w:rPr>
            </w:r>
          </w:p>
          <w:p w14:paraId="3D58470D">
            <w:pPr>
              <w:pBdr/>
              <w:shd w:val="nil" w:color="000000"/>
              <w:spacing/>
              <w:ind/>
              <w:rPr>
                <w:highlight w:val="none"/>
                <w:lang w:val="en-US"/>
              </w:rPr>
            </w:pPr>
            <w:r>
              <w:rPr>
                <w:highlight w:val="none"/>
                <w:lang w:val="en-US"/>
              </w:rPr>
            </w:r>
            <w:r>
              <w:rPr>
                <w:highlight w:val="none"/>
                <w:lang w:val="en-US"/>
              </w:rPr>
            </w:r>
            <w:r>
              <w:rPr>
                <w:highlight w:val="none"/>
                <w:lang w:val="en-US"/>
              </w:rPr>
            </w:r>
          </w:p>
          <w:p w14:paraId="7F6DE477">
            <w:pPr>
              <w:pBdr/>
              <w:shd w:val="nil" w:color="000000"/>
              <w:spacing/>
              <w:ind/>
              <w:rPr>
                <w:highlight w:val="none"/>
                <w:lang w:val="en-US"/>
              </w:rPr>
            </w:pPr>
            <w:r/>
            <w:hyperlink r:id="rId17" w:tooltip="http://obinfonet.ro/docs/nt-cultura/ntcma-res/Apollonius of Tyana a study of his life and times (F.W. Groves Campbell).pdf" w:history="1">
              <w:r>
                <w:rPr>
                  <w:rStyle w:val="976"/>
                  <w:highlight w:val="none"/>
                  <w:lang w:val="en-US"/>
                </w:rPr>
                <w:t xml:space="preserve">F.W. Groves Campbell, Apollonius of Tyana a study of his life and times</w:t>
              </w:r>
            </w:hyperlink>
            <w:r>
              <w:rPr>
                <w:highlight w:val="none"/>
                <w:lang w:val="en-US"/>
              </w:rPr>
            </w:r>
            <w:r>
              <w:rPr>
                <w:highlight w:val="none"/>
                <w:lang w:val="en-US"/>
              </w:rPr>
            </w:r>
          </w:p>
          <w:p w14:paraId="52417E21">
            <w:pPr>
              <w:pBdr/>
              <w:shd w:val="nil" w:color="000000"/>
              <w:spacing/>
              <w:ind/>
              <w:rPr>
                <w:highlight w:val="none"/>
                <w:lang w:val="en-US"/>
              </w:rPr>
            </w:pPr>
            <w:r>
              <w:rPr>
                <w:highlight w:val="none"/>
                <w:lang w:val="en-US"/>
              </w:rPr>
            </w:r>
            <w:r>
              <w:rPr>
                <w:highlight w:val="none"/>
                <w:lang w:val="en-US"/>
              </w:rPr>
            </w:r>
            <w:r>
              <w:rPr>
                <w:highlight w:val="none"/>
                <w:lang w:val="en-US"/>
              </w:rPr>
            </w:r>
          </w:p>
          <w:p w14:paraId="47DF93A8">
            <w:pPr>
              <w:pBdr/>
              <w:shd w:val="nil" w:color="000000"/>
              <w:spacing/>
              <w:ind/>
              <w:rPr>
                <w:highlight w:val="none"/>
                <w:lang w:val="en-US"/>
              </w:rPr>
            </w:pPr>
            <w:r>
              <w:rPr>
                <w:highlight w:val="none"/>
                <w:lang w:val="en-US"/>
              </w:rPr>
            </w:r>
            <w:r>
              <w:rPr>
                <w:highlight w:val="none"/>
                <w:lang w:val="en-US"/>
              </w:rPr>
            </w:r>
            <w:r>
              <w:rPr>
                <w:highlight w:val="none"/>
                <w:lang w:val="en-US"/>
              </w:rPr>
            </w:r>
          </w:p>
          <w:p w14:paraId="75732BC1">
            <w:pPr>
              <w:pStyle w:val="939"/>
              <w:pBdr/>
              <w:spacing/>
              <w:ind/>
              <w:rPr>
                <w:rFonts w:ascii="Albertus" w:hAnsi="Albertus" w:cs="Albertus"/>
                <w:bCs/>
                <w:i/>
                <w:sz w:val="24"/>
                <w:szCs w:val="24"/>
              </w:rPr>
            </w:pPr>
            <w:r>
              <w:rPr>
                <w:rFonts w:ascii="Albertus" w:hAnsi="Albertus" w:eastAsia="Albertus" w:cs="Albertus"/>
                <w:i/>
                <w:iCs/>
                <w:sz w:val="24"/>
                <w:szCs w:val="24"/>
                <w:lang w:val="ro-RO"/>
              </w:rPr>
              <w:t xml:space="preserve">B.Interacția cu religiile lumii</w:t>
            </w:r>
            <w:r>
              <w:rPr>
                <w:rFonts w:ascii="Albertus" w:hAnsi="Albertus" w:cs="Albertus"/>
                <w:bCs/>
                <w:i/>
                <w:sz w:val="24"/>
                <w:szCs w:val="24"/>
              </w:rPr>
            </w:r>
            <w:r>
              <w:rPr>
                <w:rFonts w:ascii="Albertus" w:hAnsi="Albertus" w:cs="Albertus"/>
                <w:bCs/>
                <w:i/>
                <w:sz w:val="24"/>
                <w:szCs w:val="24"/>
              </w:rPr>
            </w:r>
          </w:p>
          <w:p w14:paraId="4A1F6E30">
            <w:pPr>
              <w:pStyle w:val="941"/>
              <w:pBdr/>
              <w:spacing/>
              <w:ind/>
              <w:rPr>
                <w:sz w:val="24"/>
                <w:szCs w:val="24"/>
                <w14:ligatures w14:val="none"/>
              </w:rPr>
            </w:pPr>
            <w:r>
              <w:rPr>
                <w:sz w:val="24"/>
                <w:szCs w:val="24"/>
              </w:rPr>
              <w:t xml:space="preserve">2. Creștinismul și speranțele me</w:t>
            </w:r>
            <w:r>
              <w:rPr>
                <w:sz w:val="24"/>
                <w:szCs w:val="24"/>
                <w:lang w:val="ro-RO"/>
              </w:rPr>
              <w:t xml:space="preserve">s</w:t>
            </w:r>
            <w:r>
              <w:rPr>
                <w:sz w:val="24"/>
                <w:szCs w:val="24"/>
                <w:lang w:val="en-US"/>
              </w:rPr>
              <w:t xml:space="preserve">iani</w:t>
            </w:r>
            <w:r>
              <w:rPr>
                <w:sz w:val="24"/>
                <w:szCs w:val="24"/>
                <w:lang w:val="ro-RO"/>
              </w:rPr>
              <w:t xml:space="preserve">ce: creștinii și iudaismul redefinit. Identitate socială și religioasă</w:t>
            </w:r>
            <w:r>
              <w:rPr>
                <w:sz w:val="24"/>
                <w:szCs w:val="24"/>
                <w:lang w:val="en-US"/>
              </w:rPr>
              <w:t xml:space="preserve">. Mesianism imperial roman.</w:t>
            </w:r>
            <w:r>
              <w:rPr>
                <w:sz w:val="24"/>
                <w:szCs w:val="24"/>
                <w14:ligatures w14:val="none"/>
              </w:rPr>
            </w:r>
            <w:r>
              <w:rPr>
                <w:sz w:val="24"/>
                <w:szCs w:val="24"/>
                <w14:ligatures w14:val="none"/>
              </w:rPr>
            </w:r>
          </w:p>
          <w:p w14:paraId="324E1743">
            <w:pPr>
              <w:pStyle w:val="937"/>
              <w:pBdr/>
              <w:spacing/>
              <w:ind/>
              <w:rPr>
                <w:sz w:val="22"/>
                <w:szCs w:val="22"/>
                <w:highlight w:val="none"/>
                <w:lang w:val="ro-RO"/>
                <w14:ligatures w14:val="none"/>
              </w:rPr>
            </w:pPr>
            <w:r>
              <w:rPr>
                <w:sz w:val="22"/>
                <w:szCs w:val="22"/>
                <w:lang w:val="en-US"/>
              </w:rPr>
            </w:r>
            <w:r>
              <w:rPr>
                <w:sz w:val="22"/>
                <w:szCs w:val="22"/>
                <w:lang w:val="en-US"/>
              </w:rPr>
              <w:t xml:space="preserve">A</w:t>
            </w:r>
            <w:r>
              <w:rPr>
                <w:sz w:val="22"/>
                <w:szCs w:val="22"/>
                <w:lang w:val="ro-RO"/>
              </w:rPr>
              <w:t xml:space="preserve">șteptându-l </w:t>
            </w:r>
            <w:r>
              <w:rPr>
                <w:sz w:val="22"/>
                <w:szCs w:val="22"/>
                <w:lang w:val="ro-RO"/>
              </w:rPr>
              <w:t xml:space="preserve">pe </w:t>
            </w:r>
            <w:r>
              <w:rPr>
                <w:sz w:val="22"/>
                <w:szCs w:val="22"/>
                <w:lang w:val="ro-RO"/>
              </w:rPr>
              <w:t xml:space="preserve">Mesia.</w:t>
            </w:r>
            <w:r>
              <w:rPr>
                <w:sz w:val="22"/>
                <w:szCs w:val="22"/>
                <w:highlight w:val="none"/>
                <w:lang w:val="ro-RO"/>
                <w14:ligatures w14:val="none"/>
              </w:rPr>
            </w:r>
            <w:r>
              <w:rPr>
                <w:sz w:val="22"/>
                <w:szCs w:val="22"/>
                <w:highlight w:val="none"/>
                <w:lang w:val="ro-RO"/>
                <w14:ligatures w14:val="none"/>
              </w:rPr>
            </w:r>
          </w:p>
          <w:p w14:paraId="0D68C27F">
            <w:pPr>
              <w:pStyle w:val="941"/>
              <w:pBdr/>
              <w:spacing/>
              <w:ind/>
              <w:rPr>
                <w:sz w:val="22"/>
                <w:szCs w:val="22"/>
                <w:highlight w:val="none"/>
                <w:lang w:val="ro-RO"/>
              </w:rPr>
            </w:pPr>
            <w:r>
              <w:rPr>
                <w:sz w:val="24"/>
                <w:szCs w:val="24"/>
              </w:rPr>
              <w:t xml:space="preserve">3. C</w:t>
            </w:r>
            <w:r>
              <w:rPr>
                <w:sz w:val="24"/>
                <w:szCs w:val="24"/>
                <w:lang w:val="en-US"/>
              </w:rPr>
              <w:t xml:space="preserve">reştinismul şi religiile misterelor. Creştinismul şi magia.</w:t>
            </w:r>
            <w:r>
              <w:rPr>
                <w:sz w:val="24"/>
                <w:szCs w:val="24"/>
                <w:lang w:val="ro-RO"/>
              </w:rPr>
              <w:t xml:space="preserve"> Identitate religioasă</w:t>
            </w:r>
            <w:r>
              <w:rPr>
                <w:sz w:val="22"/>
                <w:szCs w:val="22"/>
                <w:lang w:val="ro-RO"/>
              </w:rPr>
              <w:t xml:space="preserve"> </w:t>
            </w:r>
            <w:r>
              <w:rPr>
                <w:sz w:val="22"/>
                <w:szCs w:val="22"/>
                <w:highlight w:val="none"/>
                <w:lang w:val="ro-RO"/>
              </w:rPr>
            </w:r>
            <w:r>
              <w:rPr>
                <w:sz w:val="22"/>
                <w:szCs w:val="22"/>
                <w:highlight w:val="none"/>
                <w:lang w:val="ro-RO"/>
              </w:rPr>
            </w:r>
          </w:p>
          <w:p w14:paraId="7E74460C">
            <w:pPr>
              <w:pStyle w:val="937"/>
              <w:pBdr/>
              <w:spacing/>
              <w:ind/>
              <w:rPr>
                <w:rFonts w:ascii="Gentium" w:hAnsi="Gentium"/>
                <w:sz w:val="22"/>
                <w:szCs w:val="22"/>
                <w:highlight w:val="none"/>
                <w:lang w:val="ro-RO"/>
              </w:rPr>
            </w:pPr>
            <w:r>
              <w:rPr>
                <w:rFonts w:ascii="Gentium" w:hAnsi="Gentium"/>
                <w:sz w:val="22"/>
                <w:szCs w:val="22"/>
                <w:lang w:val="ro-RO"/>
              </w:rPr>
              <w:t xml:space="preserve">Forțele care conduc lumea</w:t>
            </w:r>
            <w:r>
              <w:rPr>
                <w:rFonts w:ascii="Gentium" w:hAnsi="Gentium"/>
                <w:sz w:val="22"/>
                <w:szCs w:val="22"/>
                <w:lang w:val="ro-RO"/>
              </w:rPr>
              <w:t xml:space="preserve">.</w:t>
            </w:r>
            <w:r>
              <w:rPr>
                <w:rFonts w:ascii="Gentium" w:hAnsi="Gentium"/>
                <w:sz w:val="22"/>
                <w:szCs w:val="22"/>
                <w:highlight w:val="none"/>
                <w:lang w:val="ro-RO"/>
              </w:rPr>
            </w:r>
            <w:r>
              <w:rPr>
                <w:rFonts w:ascii="Gentium" w:hAnsi="Gentium"/>
                <w:sz w:val="22"/>
                <w:szCs w:val="22"/>
                <w:highlight w:val="none"/>
                <w:lang w:val="ro-RO"/>
              </w:rPr>
            </w:r>
          </w:p>
          <w:p w14:paraId="44F9FD6F">
            <w:pPr>
              <w:pStyle w:val="941"/>
              <w:pBdr/>
              <w:spacing/>
              <w:ind/>
              <w:rPr>
                <w:rFonts w:ascii="Arial" w:hAnsi="Arial" w:cs="Arial"/>
                <w:sz w:val="24"/>
                <w:szCs w:val="24"/>
              </w:rPr>
            </w:pPr>
            <w:r>
              <w:rPr>
                <w:rFonts w:ascii="Arial" w:hAnsi="Arial" w:eastAsia="Arial" w:cs="Arial"/>
                <w:sz w:val="24"/>
                <w:szCs w:val="24"/>
              </w:rPr>
              <w:t xml:space="preserve">4. Creștinismul și ascetismul</w:t>
            </w:r>
            <w:r>
              <w:rPr>
                <w:rFonts w:ascii="Arial" w:hAnsi="Arial" w:cs="Arial"/>
                <w:sz w:val="24"/>
                <w:szCs w:val="24"/>
              </w:rPr>
            </w:r>
            <w:r>
              <w:rPr>
                <w:rFonts w:ascii="Arial" w:hAnsi="Arial" w:cs="Arial"/>
                <w:sz w:val="24"/>
                <w:szCs w:val="24"/>
              </w:rPr>
            </w:r>
          </w:p>
          <w:p w14:paraId="37462AA5">
            <w:pPr>
              <w:pBdr/>
              <w:shd w:val="nil" w:color="000000"/>
              <w:spacing/>
              <w:ind/>
              <w:rPr>
                <w:highlight w:val="none"/>
                <w:lang w:val="en-US"/>
              </w:rPr>
            </w:pPr>
            <w:r>
              <w:rPr>
                <w:highlight w:val="none"/>
                <w:lang w:val="en-US" w:bidi="en-US"/>
              </w:rPr>
            </w:r>
            <w:r>
              <w:rPr>
                <w:highlight w:val="none"/>
                <w:lang w:val="en-US"/>
              </w:rPr>
            </w:r>
            <w:r>
              <w:rPr>
                <w:highlight w:val="none"/>
                <w:lang w:val="en-US"/>
              </w:rPr>
            </w:r>
          </w:p>
          <w:p w14:paraId="5275C2B1">
            <w:pPr>
              <w:pBdr/>
              <w:spacing/>
              <w:ind/>
              <w:rPr>
                <w:sz w:val="22"/>
                <w:szCs w:val="22"/>
                <w14:ligatures w14:val="none"/>
              </w:rPr>
            </w:pPr>
            <w:r>
              <w:rPr>
                <w:sz w:val="22"/>
                <w:szCs w:val="22"/>
                <w14:ligatures w14:val="none"/>
              </w:rPr>
            </w:r>
            <w:r>
              <w:rPr>
                <w:sz w:val="22"/>
                <w:szCs w:val="22"/>
                <w14:ligatures w14:val="none"/>
              </w:rPr>
            </w:r>
            <w:r>
              <w:rPr>
                <w:sz w:val="22"/>
                <w:szCs w:val="22"/>
                <w14:ligatures w14:val="none"/>
              </w:rPr>
            </w:r>
          </w:p>
          <w:p w14:paraId="60612853">
            <w:pPr>
              <w:pStyle w:val="939"/>
              <w:pBdr/>
              <w:spacing/>
              <w:ind/>
              <w:rPr>
                <w:bCs/>
                <w:i/>
                <w14:ligatures w14:val="none"/>
              </w:rPr>
            </w:pPr>
            <w:r>
              <w:rPr>
                <w:i/>
                <w:iCs/>
                <w:highlight w:val="none"/>
                <w:lang w:val="ro-RO"/>
              </w:rPr>
              <w:t xml:space="preserve">C. </w:t>
            </w:r>
            <w:r>
              <w:rPr>
                <w:i/>
                <w:iCs/>
                <w:highlight w:val="none"/>
                <w:lang w:val="en-US"/>
              </w:rPr>
              <w:t xml:space="preserve">Intera</w:t>
            </w:r>
            <w:r>
              <w:rPr>
                <w:i/>
                <w:iCs/>
                <w:highlight w:val="none"/>
                <w:lang w:val="ro-RO"/>
              </w:rPr>
              <w:t xml:space="preserve">cția cu filozofiile vremii</w:t>
            </w:r>
            <w:r>
              <w:rPr>
                <w:bCs/>
                <w:i/>
                <w14:ligatures w14:val="none"/>
              </w:rPr>
            </w:r>
            <w:r>
              <w:rPr>
                <w:bCs/>
                <w:i/>
                <w14:ligatures w14:val="none"/>
              </w:rPr>
            </w:r>
          </w:p>
          <w:p w14:paraId="450DD612">
            <w:pPr>
              <w:pStyle w:val="941"/>
              <w:pBdr/>
              <w:spacing/>
              <w:ind/>
              <w:rPr>
                <w:rFonts w:ascii="Gentium" w:hAnsi="Gentium"/>
                <w:sz w:val="22"/>
                <w:szCs w:val="22"/>
              </w:rPr>
            </w:pPr>
            <w:r>
              <w:rPr>
                <w:sz w:val="24"/>
                <w:szCs w:val="24"/>
              </w:rPr>
              <w:t xml:space="preserve">5. </w:t>
            </w:r>
            <w:r>
              <w:rPr>
                <w:sz w:val="24"/>
                <w:szCs w:val="24"/>
                <w:lang w:val="en-US"/>
              </w:rPr>
              <w:t xml:space="preserve">Filozofiile stoice, epicureice, cinice şi creştinismul.</w:t>
            </w:r>
            <w:r>
              <w:rPr>
                <w:sz w:val="24"/>
                <w:szCs w:val="24"/>
                <w:lang w:val="ro-RO"/>
              </w:rPr>
              <w:t xml:space="preserve"> Identitate filosofică</w:t>
            </w:r>
            <w:r>
              <w:rPr>
                <w:sz w:val="22"/>
                <w:szCs w:val="22"/>
                <w:lang w:val="ro-RO"/>
              </w:rPr>
              <w:t xml:space="preserve"> </w:t>
            </w:r>
            <w:r>
              <w:rPr>
                <w:rFonts w:ascii="Gentium" w:hAnsi="Gentium"/>
                <w:sz w:val="22"/>
                <w:szCs w:val="22"/>
              </w:rPr>
            </w:r>
            <w:r>
              <w:rPr>
                <w:rFonts w:ascii="Gentium" w:hAnsi="Gentium"/>
                <w:sz w:val="22"/>
                <w:szCs w:val="22"/>
              </w:rPr>
            </w:r>
          </w:p>
          <w:p w14:paraId="05CD37A9">
            <w:pPr>
              <w:pStyle w:val="937"/>
              <w:pBdr/>
              <w:spacing/>
              <w:ind/>
              <w:rPr>
                <w:rFonts w:ascii="Gentium" w:hAnsi="Gentium"/>
                <w:sz w:val="22"/>
                <w:szCs w:val="22"/>
              </w:rPr>
            </w:pPr>
            <w:r>
              <w:rPr>
                <w:rFonts w:ascii="Gentium" w:hAnsi="Gentium"/>
                <w:sz w:val="22"/>
                <w:szCs w:val="22"/>
                <w:lang w:val="ro-RO"/>
              </w:rPr>
              <w:t xml:space="preserve">În ce fel înțelegem </w:t>
            </w:r>
            <w:r>
              <w:rPr>
                <w:rFonts w:ascii="Gentium" w:hAnsi="Gentium"/>
                <w:sz w:val="22"/>
                <w:szCs w:val="22"/>
                <w:lang w:val="ro-RO"/>
              </w:rPr>
              <w:t xml:space="preserve">lumea.</w:t>
            </w:r>
            <w:r>
              <w:rPr>
                <w:rFonts w:ascii="Gentium" w:hAnsi="Gentium"/>
                <w:sz w:val="22"/>
                <w:szCs w:val="22"/>
              </w:rPr>
            </w:r>
            <w:r>
              <w:rPr>
                <w:rFonts w:ascii="Gentium" w:hAnsi="Gentium"/>
                <w:sz w:val="22"/>
                <w:szCs w:val="22"/>
              </w:rPr>
            </w:r>
          </w:p>
          <w:p w14:paraId="7BD8B811">
            <w:pPr>
              <w:pStyle w:val="941"/>
              <w:pBdr/>
              <w:spacing/>
              <w:ind/>
              <w:rPr>
                <w:rFonts w:ascii="Gentium" w:hAnsi="Gentium"/>
                <w:sz w:val="24"/>
                <w:szCs w:val="24"/>
                <w14:ligatures w14:val="none"/>
              </w:rPr>
            </w:pPr>
            <w:r>
              <w:rPr>
                <w:sz w:val="24"/>
                <w:szCs w:val="24"/>
              </w:rPr>
              <w:t xml:space="preserve">6. </w:t>
            </w:r>
            <w:r>
              <w:rPr>
                <w:sz w:val="24"/>
                <w:szCs w:val="24"/>
                <w:lang w:val="en-US"/>
              </w:rPr>
              <w:t xml:space="preserve">Creştinismul şi curentele neo-platoniste</w:t>
            </w:r>
            <w:r>
              <w:rPr>
                <w:sz w:val="24"/>
                <w:szCs w:val="24"/>
                <w:lang w:val="ro-RO"/>
              </w:rPr>
              <w:t xml:space="preserve">. Identitate filosofică</w:t>
            </w:r>
            <w:r>
              <w:rPr>
                <w:rFonts w:ascii="Gentium" w:hAnsi="Gentium"/>
                <w:sz w:val="24"/>
                <w:szCs w:val="24"/>
                <w14:ligatures w14:val="none"/>
              </w:rPr>
            </w:r>
            <w:r>
              <w:rPr>
                <w:rFonts w:ascii="Gentium" w:hAnsi="Gentium"/>
                <w:sz w:val="24"/>
                <w:szCs w:val="24"/>
                <w14:ligatures w14:val="none"/>
              </w:rPr>
            </w:r>
          </w:p>
          <w:p w14:paraId="7AD44278">
            <w:pPr>
              <w:pBdr/>
              <w:spacing/>
              <w:ind/>
              <w:rPr/>
            </w:pPr>
            <w:r>
              <w:rPr>
                <w:rFonts w:ascii="Gentium" w:hAnsi="Gentium"/>
                <w:sz w:val="22"/>
                <w:szCs w:val="22"/>
                <w14:ligatures w14:val="none"/>
              </w:rPr>
              <w:t xml:space="preserve">Concepții despre lume și viață.</w:t>
            </w:r>
            <w:r/>
          </w:p>
          <w:p w14:paraId="20AF3D05">
            <w:pPr>
              <w:pStyle w:val="939"/>
              <w:pBdr/>
              <w:spacing/>
              <w:ind/>
              <w:rPr/>
            </w:pPr>
            <w:r>
              <w:rPr>
                <w:rFonts w:ascii="Albertus" w:hAnsi="Albertus" w:eastAsia="Albertus" w:cs="Albertus"/>
                <w:sz w:val="24"/>
                <w:szCs w:val="24"/>
              </w:rPr>
            </w:r>
            <w:r/>
          </w:p>
          <w:p w14:paraId="300136B3">
            <w:pPr>
              <w:pStyle w:val="939"/>
              <w:pBdr/>
              <w:spacing/>
              <w:ind/>
              <w:rPr>
                <w:rFonts w:ascii="Albertus" w:hAnsi="Albertus" w:cs="Albertus"/>
                <w:bCs/>
                <w:i/>
                <w:sz w:val="22"/>
                <w:szCs w:val="22"/>
              </w:rPr>
            </w:pPr>
            <w:r>
              <w:rPr>
                <w:rStyle w:val="957"/>
                <w:rFonts w:ascii="Albertus" w:hAnsi="Albertus" w:eastAsia="Albertus" w:cs="Albertus"/>
                <w:i/>
                <w:iCs/>
                <w:lang w:val="ro-RO"/>
              </w:rPr>
              <w:t xml:space="preserve">D. Creștinismul și imperiul</w:t>
            </w:r>
            <w:r>
              <w:rPr>
                <w:rFonts w:ascii="Albertus" w:hAnsi="Albertus" w:cs="Albertus"/>
                <w:bCs/>
                <w:i/>
                <w:sz w:val="22"/>
                <w:szCs w:val="22"/>
              </w:rPr>
            </w:r>
            <w:r>
              <w:rPr>
                <w:rFonts w:ascii="Albertus" w:hAnsi="Albertus" w:cs="Albertus"/>
                <w:bCs/>
                <w:i/>
                <w:sz w:val="22"/>
                <w:szCs w:val="22"/>
              </w:rPr>
            </w:r>
          </w:p>
          <w:p w14:paraId="171A95D1">
            <w:pPr>
              <w:pStyle w:val="941"/>
              <w:pBdr/>
              <w:spacing/>
              <w:ind/>
              <w:rPr>
                <w:sz w:val="24"/>
                <w:szCs w:val="24"/>
                <w14:ligatures w14:val="none"/>
              </w:rPr>
            </w:pPr>
            <w:r>
              <w:rPr>
                <w:sz w:val="24"/>
                <w:szCs w:val="24"/>
              </w:rPr>
              <w:t xml:space="preserve">7. </w:t>
            </w:r>
            <w:r>
              <w:rPr>
                <w:sz w:val="24"/>
                <w:szCs w:val="24"/>
                <w:lang w:val="en-US"/>
              </w:rPr>
              <w:t xml:space="preserve">Creştinismul şi istoriografia elenistă</w:t>
            </w:r>
            <w:r>
              <w:rPr>
                <w:sz w:val="24"/>
                <w:szCs w:val="24"/>
                <w:lang w:val="ro-RO"/>
              </w:rPr>
              <w:t xml:space="preserve">. Identitate istorică</w:t>
            </w:r>
            <w:r>
              <w:rPr>
                <w:sz w:val="24"/>
                <w:szCs w:val="24"/>
                <w14:ligatures w14:val="none"/>
              </w:rPr>
            </w:r>
            <w:r>
              <w:rPr>
                <w:sz w:val="24"/>
                <w:szCs w:val="24"/>
                <w14:ligatures w14:val="none"/>
              </w:rPr>
            </w:r>
          </w:p>
          <w:p w14:paraId="16AB21B6">
            <w:pPr>
              <w:pStyle w:val="937"/>
              <w:pBdr/>
              <w:spacing/>
              <w:ind/>
              <w:rPr>
                <w:rFonts w:ascii="Gentium" w:hAnsi="Gentium"/>
                <w:sz w:val="22"/>
                <w:szCs w:val="22"/>
                <w:highlight w:val="none"/>
                <w:lang w:val="ro-RO"/>
              </w:rPr>
            </w:pPr>
            <w:r>
              <w:rPr>
                <w:rFonts w:ascii="Gentium" w:hAnsi="Gentium"/>
                <w:sz w:val="22"/>
                <w:szCs w:val="22"/>
                <w:lang w:val="ro-RO"/>
              </w:rPr>
              <w:t xml:space="preserve">Creștinismul are o istorie pe pământ?</w:t>
            </w:r>
            <w:r>
              <w:rPr>
                <w:rFonts w:ascii="Gentium" w:hAnsi="Gentium"/>
                <w:sz w:val="22"/>
                <w:szCs w:val="22"/>
                <w:highlight w:val="none"/>
                <w:lang w:val="ro-RO"/>
              </w:rPr>
            </w:r>
            <w:r>
              <w:rPr>
                <w:rFonts w:ascii="Gentium" w:hAnsi="Gentium"/>
                <w:sz w:val="22"/>
                <w:szCs w:val="22"/>
                <w:highlight w:val="none"/>
                <w:lang w:val="ro-RO"/>
              </w:rPr>
            </w:r>
          </w:p>
          <w:p w14:paraId="087D853C">
            <w:pPr>
              <w:pStyle w:val="941"/>
              <w:pBdr/>
              <w:spacing/>
              <w:ind/>
              <w:rPr>
                <w:rFonts w:ascii="Gentium" w:hAnsi="Gentium"/>
                <w:sz w:val="22"/>
                <w:szCs w:val="22"/>
              </w:rPr>
            </w:pPr>
            <w:r>
              <w:rPr>
                <w:sz w:val="24"/>
                <w:szCs w:val="24"/>
              </w:rPr>
              <w:t xml:space="preserve">8. </w:t>
            </w:r>
            <w:r>
              <w:rPr>
                <w:sz w:val="24"/>
                <w:szCs w:val="24"/>
                <w:lang w:val="en-US"/>
              </w:rPr>
              <w:t xml:space="preserve">Creştinismul şi ideologia imperială romană</w:t>
            </w:r>
            <w:r>
              <w:rPr>
                <w:sz w:val="24"/>
                <w:szCs w:val="24"/>
                <w:lang w:val="ro-RO"/>
              </w:rPr>
              <w:t xml:space="preserve">. Identitate socială și politică</w:t>
            </w:r>
            <w:r>
              <w:rPr>
                <w:sz w:val="22"/>
                <w:szCs w:val="22"/>
                <w:lang w:val="ro-RO"/>
              </w:rPr>
              <w:t xml:space="preserve"> </w:t>
            </w:r>
            <w:r>
              <w:rPr>
                <w:rFonts w:ascii="Gentium" w:hAnsi="Gentium"/>
                <w:sz w:val="22"/>
                <w:szCs w:val="22"/>
              </w:rPr>
            </w:r>
            <w:r>
              <w:rPr>
                <w:rFonts w:ascii="Gentium" w:hAnsi="Gentium"/>
                <w:sz w:val="22"/>
                <w:szCs w:val="22"/>
              </w:rPr>
            </w:r>
          </w:p>
          <w:p w14:paraId="6A8F857A">
            <w:pPr>
              <w:pStyle w:val="937"/>
              <w:pBdr/>
              <w:spacing/>
              <w:ind/>
              <w:rPr>
                <w:rFonts w:ascii="Gentium" w:hAnsi="Gentium"/>
                <w:sz w:val="22"/>
                <w:szCs w:val="22"/>
                <w:highlight w:val="none"/>
                <w:lang w:val="ro-RO"/>
              </w:rPr>
            </w:pPr>
            <w:r>
              <w:rPr>
                <w:rFonts w:ascii="Gentium" w:hAnsi="Gentium"/>
                <w:sz w:val="22"/>
                <w:szCs w:val="22"/>
                <w:lang w:val="ro-RO"/>
              </w:rPr>
              <w:t xml:space="preserve">Rolul creștinului în Imperiu, relația sa cu politica.</w:t>
            </w:r>
            <w:r>
              <w:rPr>
                <w:rFonts w:ascii="Gentium" w:hAnsi="Gentium"/>
                <w:sz w:val="22"/>
                <w:szCs w:val="22"/>
                <w:highlight w:val="none"/>
                <w:lang w:val="ro-RO"/>
              </w:rPr>
            </w:r>
            <w:r>
              <w:rPr>
                <w:rFonts w:ascii="Gentium" w:hAnsi="Gentium"/>
                <w:sz w:val="22"/>
                <w:szCs w:val="22"/>
                <w:highlight w:val="none"/>
                <w:lang w:val="ro-RO"/>
              </w:rPr>
            </w:r>
          </w:p>
          <w:p w14:paraId="7B28CCB3">
            <w:pPr>
              <w:pStyle w:val="941"/>
              <w:pBdr/>
              <w:spacing/>
              <w:ind/>
              <w:rPr>
                <w:rFonts w:ascii="Gentium" w:hAnsi="Gentium"/>
                <w:sz w:val="24"/>
                <w:szCs w:val="24"/>
              </w:rPr>
            </w:pPr>
            <w:r>
              <w:rPr>
                <w:sz w:val="24"/>
                <w:szCs w:val="24"/>
              </w:rPr>
              <w:t xml:space="preserve">9. </w:t>
            </w:r>
            <w:r>
              <w:rPr>
                <w:sz w:val="24"/>
                <w:szCs w:val="24"/>
                <w:lang w:val="en-US"/>
              </w:rPr>
              <w:t xml:space="preserve">Creştinismul şi </w:t>
            </w:r>
            <w:r>
              <w:rPr>
                <w:sz w:val="24"/>
                <w:szCs w:val="24"/>
                <w:lang w:val="ro-RO"/>
              </w:rPr>
              <w:t xml:space="preserve">se</w:t>
            </w:r>
            <w:r>
              <w:rPr>
                <w:sz w:val="24"/>
                <w:szCs w:val="24"/>
                <w:lang w:val="en-US"/>
              </w:rPr>
              <w:t xml:space="preserve">rviciul public administrativ şi militar</w:t>
            </w:r>
            <w:r>
              <w:rPr>
                <w:sz w:val="24"/>
                <w:szCs w:val="24"/>
                <w:lang w:val="ro-RO"/>
              </w:rPr>
              <w:t xml:space="preserve">. Identitate socială</w:t>
            </w:r>
            <w:r>
              <w:rPr>
                <w:rFonts w:ascii="Gentium" w:hAnsi="Gentium"/>
                <w:sz w:val="24"/>
                <w:szCs w:val="24"/>
              </w:rPr>
            </w:r>
            <w:r>
              <w:rPr>
                <w:rFonts w:ascii="Gentium" w:hAnsi="Gentium"/>
                <w:sz w:val="24"/>
                <w:szCs w:val="24"/>
              </w:rPr>
            </w:r>
          </w:p>
          <w:p w14:paraId="0B71F67B">
            <w:pPr>
              <w:pStyle w:val="937"/>
              <w:pBdr/>
              <w:spacing/>
              <w:ind/>
              <w:rPr>
                <w:rFonts w:ascii="Gentium" w:hAnsi="Gentium"/>
                <w:sz w:val="22"/>
                <w:szCs w:val="22"/>
              </w:rPr>
            </w:pPr>
            <w:r>
              <w:rPr>
                <w:rFonts w:ascii="Gentium" w:hAnsi="Gentium"/>
                <w:sz w:val="22"/>
                <w:szCs w:val="22"/>
                <w:lang w:val="ro-RO"/>
              </w:rPr>
              <w:t xml:space="preserve">Serviciul social activ în administrație și armată.</w:t>
            </w:r>
            <w:r>
              <w:rPr>
                <w:rFonts w:ascii="Gentium" w:hAnsi="Gentium"/>
                <w:sz w:val="22"/>
                <w:szCs w:val="22"/>
              </w:rPr>
            </w:r>
            <w:r>
              <w:rPr>
                <w:rFonts w:ascii="Gentium" w:hAnsi="Gentium"/>
                <w:sz w:val="22"/>
                <w:szCs w:val="22"/>
              </w:rPr>
            </w:r>
          </w:p>
          <w:p w14:paraId="4F5B90FD">
            <w:pPr>
              <w:pBdr/>
              <w:spacing/>
              <w:ind/>
              <w:rPr>
                <w:rFonts w:ascii="Gentium" w:hAnsi="Gentium"/>
                <w:sz w:val="22"/>
                <w:szCs w:val="22"/>
              </w:rPr>
            </w:pPr>
            <w:r>
              <w:rPr>
                <w:sz w:val="22"/>
                <w:szCs w:val="22"/>
              </w:rPr>
            </w:r>
            <w:r>
              <w:rPr>
                <w:rFonts w:ascii="Gentium" w:hAnsi="Gentium"/>
                <w:sz w:val="22"/>
                <w:szCs w:val="22"/>
              </w:rPr>
            </w:r>
            <w:r>
              <w:rPr>
                <w:rFonts w:ascii="Gentium" w:hAnsi="Gentium"/>
                <w:sz w:val="22"/>
                <w:szCs w:val="22"/>
              </w:rPr>
            </w:r>
          </w:p>
          <w:p w14:paraId="4FAEEFA4">
            <w:pPr>
              <w:pBdr/>
              <w:spacing/>
              <w:ind/>
              <w:rPr>
                <w:rFonts w:ascii="Gentium" w:hAnsi="Gentium"/>
                <w:sz w:val="22"/>
                <w:szCs w:val="22"/>
                <w:highlight w:val="none"/>
                <w:lang w:val="ro-RO"/>
              </w:rPr>
            </w:pPr>
            <w:r>
              <w:rPr>
                <w:sz w:val="22"/>
                <w:szCs w:val="22"/>
                <w:highlight w:val="none"/>
                <w:lang w:val="ro-RO"/>
              </w:rPr>
            </w:r>
            <w:r>
              <w:rPr>
                <w:rFonts w:ascii="Gentium" w:hAnsi="Gentium"/>
                <w:sz w:val="22"/>
                <w:szCs w:val="22"/>
                <w:highlight w:val="none"/>
                <w:lang w:val="ro-RO"/>
              </w:rPr>
            </w:r>
            <w:r>
              <w:rPr>
                <w:rFonts w:ascii="Gentium" w:hAnsi="Gentium"/>
                <w:sz w:val="22"/>
                <w:szCs w:val="22"/>
                <w:highlight w:val="none"/>
                <w:lang w:val="ro-RO"/>
              </w:rPr>
            </w:r>
          </w:p>
          <w:p w14:paraId="5FFA4987">
            <w:pPr>
              <w:pStyle w:val="939"/>
              <w:pBdr/>
              <w:spacing/>
              <w:ind/>
              <w:rPr>
                <w:rFonts w:ascii="Albertus" w:hAnsi="Albertus" w:cs="Albertus"/>
                <w:bCs/>
                <w:i/>
                <w:sz w:val="24"/>
                <w:szCs w:val="24"/>
              </w:rPr>
            </w:pPr>
            <w:r>
              <w:rPr>
                <w:rFonts w:ascii="Albertus" w:hAnsi="Albertus" w:eastAsia="Albertus" w:cs="Albertus"/>
                <w:i/>
                <w:iCs/>
                <w:sz w:val="24"/>
                <w:szCs w:val="24"/>
                <w:highlight w:val="none"/>
                <w:lang w:val="ro-RO"/>
              </w:rPr>
              <w:t xml:space="preserve">E.Creștinismul și viața socială</w:t>
            </w:r>
            <w:r>
              <w:rPr>
                <w:rFonts w:ascii="Albertus" w:hAnsi="Albertus" w:cs="Albertus"/>
                <w:bCs/>
                <w:i/>
                <w:sz w:val="24"/>
                <w:szCs w:val="24"/>
              </w:rPr>
            </w:r>
            <w:r>
              <w:rPr>
                <w:rFonts w:ascii="Albertus" w:hAnsi="Albertus" w:cs="Albertus"/>
                <w:bCs/>
                <w:i/>
                <w:sz w:val="24"/>
                <w:szCs w:val="24"/>
              </w:rPr>
            </w:r>
          </w:p>
          <w:p w14:paraId="0870742F">
            <w:pPr>
              <w:pStyle w:val="941"/>
              <w:pBdr/>
              <w:spacing/>
              <w:ind/>
              <w:rPr>
                <w:rFonts w:ascii="Gentium" w:hAnsi="Gentium"/>
                <w:sz w:val="24"/>
                <w:szCs w:val="24"/>
              </w:rPr>
            </w:pPr>
            <w:r>
              <w:rPr>
                <w:sz w:val="24"/>
                <w:szCs w:val="24"/>
              </w:rPr>
              <w:t xml:space="preserve">10. C</w:t>
            </w:r>
            <w:r>
              <w:rPr>
                <w:sz w:val="24"/>
                <w:szCs w:val="24"/>
                <w:lang w:val="en-US"/>
              </w:rPr>
              <w:t xml:space="preserve">reştinismul şi concepţiile despre familie.</w:t>
            </w:r>
            <w:r>
              <w:rPr>
                <w:sz w:val="24"/>
                <w:szCs w:val="24"/>
                <w:lang w:val="ro-RO"/>
              </w:rPr>
              <w:t xml:space="preserve"> Identitate socială</w:t>
            </w:r>
            <w:r>
              <w:rPr>
                <w:rFonts w:ascii="Gentium" w:hAnsi="Gentium"/>
                <w:sz w:val="24"/>
                <w:szCs w:val="24"/>
              </w:rPr>
            </w:r>
            <w:r>
              <w:rPr>
                <w:rFonts w:ascii="Gentium" w:hAnsi="Gentium"/>
                <w:sz w:val="24"/>
                <w:szCs w:val="24"/>
              </w:rPr>
            </w:r>
          </w:p>
          <w:p w14:paraId="1D5116C2">
            <w:pPr>
              <w:pStyle w:val="937"/>
              <w:pBdr/>
              <w:spacing/>
              <w:ind/>
              <w:rPr>
                <w:rFonts w:ascii="Gentium" w:hAnsi="Gentium"/>
                <w:sz w:val="22"/>
                <w:szCs w:val="22"/>
                <w:highlight w:val="none"/>
                <w:lang w:val="ro-RO"/>
              </w:rPr>
            </w:pPr>
            <w:r>
              <w:rPr>
                <w:rFonts w:ascii="Gentium" w:hAnsi="Gentium"/>
                <w:sz w:val="22"/>
                <w:szCs w:val="22"/>
                <w:lang w:val="ro-RO"/>
              </w:rPr>
              <w:t xml:space="preserve">Familia, modelele ei antice, noua generație și vechile generații.</w:t>
            </w:r>
            <w:r>
              <w:rPr>
                <w:rFonts w:ascii="Gentium" w:hAnsi="Gentium"/>
                <w:sz w:val="22"/>
                <w:szCs w:val="22"/>
                <w:highlight w:val="none"/>
                <w:lang w:val="ro-RO"/>
              </w:rPr>
            </w:r>
            <w:r>
              <w:rPr>
                <w:rFonts w:ascii="Gentium" w:hAnsi="Gentium"/>
                <w:sz w:val="22"/>
                <w:szCs w:val="22"/>
                <w:highlight w:val="none"/>
                <w:lang w:val="ro-RO"/>
              </w:rPr>
            </w:r>
          </w:p>
          <w:p w14:paraId="7452706B">
            <w:pPr>
              <w:pStyle w:val="941"/>
              <w:pBdr/>
              <w:spacing/>
              <w:ind/>
              <w:rPr>
                <w:rFonts w:ascii="Gentium" w:hAnsi="Gentium"/>
                <w:sz w:val="24"/>
                <w:szCs w:val="24"/>
              </w:rPr>
            </w:pPr>
            <w:r>
              <w:rPr>
                <w:sz w:val="22"/>
                <w:szCs w:val="22"/>
                <w:highlight w:val="none"/>
                <w:lang w:val="ro-RO"/>
              </w:rPr>
            </w:r>
            <w:r>
              <w:rPr>
                <w:sz w:val="24"/>
                <w:szCs w:val="24"/>
                <w:highlight w:val="none"/>
                <w:lang w:val="ro-RO"/>
              </w:rPr>
              <w:t xml:space="preserve">11. </w:t>
            </w:r>
            <w:r>
              <w:rPr>
                <w:sz w:val="24"/>
                <w:szCs w:val="24"/>
                <w:lang w:val="en-US"/>
              </w:rPr>
              <w:t xml:space="preserve">Creştinismul şi instituţia sclaviei.</w:t>
            </w:r>
            <w:r>
              <w:rPr>
                <w:sz w:val="24"/>
                <w:szCs w:val="24"/>
                <w:lang w:val="ro-RO"/>
              </w:rPr>
              <w:t xml:space="preserve"> Identitate socială</w:t>
            </w:r>
            <w:r>
              <w:rPr>
                <w:rFonts w:ascii="Gentium" w:hAnsi="Gentium"/>
                <w:sz w:val="24"/>
                <w:szCs w:val="24"/>
              </w:rPr>
            </w:r>
            <w:r>
              <w:rPr>
                <w:rFonts w:ascii="Gentium" w:hAnsi="Gentium"/>
                <w:sz w:val="24"/>
                <w:szCs w:val="24"/>
              </w:rPr>
            </w:r>
          </w:p>
          <w:p w14:paraId="68F922CE">
            <w:pPr>
              <w:pStyle w:val="937"/>
              <w:pBdr/>
              <w:spacing/>
              <w:ind/>
              <w:rPr>
                <w:rFonts w:ascii="Gentium" w:hAnsi="Gentium"/>
                <w:b w:val="0"/>
                <w:bCs w:val="0"/>
                <w:sz w:val="22"/>
                <w:szCs w:val="22"/>
                <w:highlight w:val="none"/>
                <w:lang w:val="ro-RO"/>
              </w:rPr>
            </w:pPr>
            <w:r>
              <w:rPr>
                <w:rFonts w:ascii="Gentium" w:hAnsi="Gentium"/>
                <w:b w:val="0"/>
                <w:bCs w:val="0"/>
                <w:sz w:val="22"/>
                <w:szCs w:val="22"/>
                <w:lang w:val="ro-RO"/>
              </w:rPr>
              <w:t xml:space="preserve">cum ne raportăm la muncă și la instituția sclaviei. Justiția socială și munca.</w:t>
            </w:r>
            <w:r>
              <w:rPr>
                <w:rFonts w:ascii="Gentium" w:hAnsi="Gentium"/>
                <w:b w:val="0"/>
                <w:bCs w:val="0"/>
                <w:sz w:val="22"/>
                <w:szCs w:val="22"/>
                <w:highlight w:val="none"/>
                <w:lang w:val="ro-RO"/>
              </w:rPr>
            </w:r>
            <w:r>
              <w:rPr>
                <w:rFonts w:ascii="Gentium" w:hAnsi="Gentium"/>
                <w:b w:val="0"/>
                <w:bCs w:val="0"/>
                <w:sz w:val="22"/>
                <w:szCs w:val="22"/>
                <w:highlight w:val="none"/>
                <w:lang w:val="ro-RO"/>
              </w:rPr>
            </w:r>
          </w:p>
          <w:p w14:paraId="6EB427DD">
            <w:pPr>
              <w:pStyle w:val="941"/>
              <w:pBdr/>
              <w:spacing/>
              <w:ind/>
              <w:rPr>
                <w:rFonts w:ascii="Gentium" w:hAnsi="Gentium"/>
                <w:sz w:val="22"/>
                <w:szCs w:val="22"/>
              </w:rPr>
            </w:pPr>
            <w:r>
              <w:rPr>
                <w:sz w:val="22"/>
                <w:szCs w:val="22"/>
              </w:rPr>
              <w:t xml:space="preserve">12. </w:t>
            </w:r>
            <w:r>
              <w:rPr>
                <w:sz w:val="22"/>
                <w:szCs w:val="22"/>
                <w:lang w:val="en-US"/>
              </w:rPr>
              <w:t xml:space="preserve">Creştinismul şi practicarea medicinei</w:t>
            </w:r>
            <w:r>
              <w:rPr>
                <w:sz w:val="22"/>
                <w:szCs w:val="22"/>
                <w:lang w:val="ro-RO"/>
              </w:rPr>
              <w:t xml:space="preserve">. Identitate socială</w:t>
            </w:r>
            <w:r>
              <w:rPr>
                <w:rFonts w:ascii="Gentium" w:hAnsi="Gentium"/>
                <w:sz w:val="22"/>
                <w:szCs w:val="22"/>
              </w:rPr>
            </w:r>
            <w:r>
              <w:rPr>
                <w:rFonts w:ascii="Gentium" w:hAnsi="Gentium"/>
                <w:sz w:val="22"/>
                <w:szCs w:val="22"/>
              </w:rPr>
            </w:r>
          </w:p>
          <w:p w14:paraId="0743C35E">
            <w:pPr>
              <w:pStyle w:val="937"/>
              <w:pBdr/>
              <w:spacing/>
              <w:ind/>
              <w:rPr>
                <w:rFonts w:ascii="Gentium" w:hAnsi="Gentium"/>
                <w:sz w:val="22"/>
                <w:szCs w:val="22"/>
                <w:highlight w:val="none"/>
                <w:lang w:val="ro-RO"/>
              </w:rPr>
            </w:pPr>
            <w:r>
              <w:rPr>
                <w:rFonts w:ascii="Gentium" w:hAnsi="Gentium"/>
                <w:sz w:val="22"/>
                <w:szCs w:val="22"/>
                <w:lang w:val="ro-RO"/>
              </w:rPr>
              <w:t xml:space="preserve">Angajarea în serviciul medical, convingeri medicale, jurământul lui Hipocrate.</w:t>
            </w:r>
            <w:r>
              <w:rPr>
                <w:rFonts w:ascii="Gentium" w:hAnsi="Gentium"/>
                <w:sz w:val="22"/>
                <w:szCs w:val="22"/>
                <w:highlight w:val="none"/>
                <w:lang w:val="ro-RO"/>
              </w:rPr>
            </w:r>
            <w:r>
              <w:rPr>
                <w:rFonts w:ascii="Gentium" w:hAnsi="Gentium"/>
                <w:sz w:val="22"/>
                <w:szCs w:val="22"/>
                <w:highlight w:val="none"/>
                <w:lang w:val="ro-RO"/>
              </w:rPr>
            </w:r>
          </w:p>
          <w:p w14:paraId="6F31459E">
            <w:pPr>
              <w:pBdr/>
              <w:spacing/>
              <w:ind/>
              <w:rPr>
                <w:rFonts w:ascii="Gentium" w:hAnsi="Gentium"/>
                <w:sz w:val="22"/>
                <w:szCs w:val="22"/>
              </w:rPr>
            </w:pPr>
            <w:r>
              <w:rPr>
                <w:rFonts w:ascii="Gentium" w:hAnsi="Gentium"/>
                <w:sz w:val="22"/>
                <w:szCs w:val="22"/>
              </w:rPr>
            </w:r>
            <w:r>
              <w:rPr>
                <w:rFonts w:ascii="Gentium" w:hAnsi="Gentium"/>
                <w:sz w:val="22"/>
                <w:szCs w:val="22"/>
              </w:rPr>
            </w:r>
            <w:r>
              <w:rPr>
                <w:rFonts w:ascii="Gentium" w:hAnsi="Gentium"/>
                <w:sz w:val="22"/>
                <w:szCs w:val="22"/>
              </w:rPr>
            </w:r>
          </w:p>
          <w:p w14:paraId="6CCB248B">
            <w:pPr>
              <w:pBdr/>
              <w:spacing/>
              <w:ind/>
              <w:rPr>
                <w:rFonts w:ascii="Gentium" w:hAnsi="Gentium"/>
                <w:sz w:val="22"/>
                <w:szCs w:val="22"/>
              </w:rPr>
            </w:pPr>
            <w:r>
              <w:rPr>
                <w:rFonts w:ascii="Gentium" w:hAnsi="Gentium"/>
                <w:sz w:val="22"/>
                <w:szCs w:val="22"/>
              </w:rPr>
            </w:r>
            <w:r>
              <w:rPr>
                <w:rFonts w:ascii="Gentium" w:hAnsi="Gentium"/>
                <w:sz w:val="22"/>
                <w:szCs w:val="22"/>
              </w:rPr>
            </w:r>
            <w:r>
              <w:rPr>
                <w:rFonts w:ascii="Gentium" w:hAnsi="Gentium"/>
                <w:sz w:val="22"/>
                <w:szCs w:val="22"/>
              </w:rPr>
            </w:r>
          </w:p>
          <w:p w14:paraId="4622A057">
            <w:pPr>
              <w:pStyle w:val="939"/>
              <w:pBdr/>
              <w:spacing/>
              <w:ind/>
              <w:rPr>
                <w:rFonts w:ascii="Albertus" w:hAnsi="Albertus" w:cs="Albertus"/>
                <w:bCs/>
                <w:i/>
                <w:sz w:val="24"/>
                <w:szCs w:val="24"/>
                <w:highlight w:val="none"/>
              </w:rPr>
            </w:pPr>
            <w:r>
              <w:rPr>
                <w:rFonts w:ascii="Albertus" w:hAnsi="Albertus" w:eastAsia="Albertus" w:cs="Albertus"/>
                <w:i/>
                <w:iCs/>
                <w:sz w:val="24"/>
                <w:szCs w:val="24"/>
                <w:highlight w:val="none"/>
                <w:lang w:val="ro-RO"/>
              </w:rPr>
              <w:t xml:space="preserve">F. Creștinismul, tehnica și artele</w:t>
            </w:r>
            <w:r>
              <w:rPr>
                <w:rFonts w:ascii="Albertus" w:hAnsi="Albertus" w:cs="Albertus"/>
                <w:bCs/>
                <w:i/>
                <w:sz w:val="24"/>
                <w:szCs w:val="24"/>
                <w:highlight w:val="none"/>
              </w:rPr>
            </w:r>
            <w:r>
              <w:rPr>
                <w:rFonts w:ascii="Albertus" w:hAnsi="Albertus" w:cs="Albertus"/>
                <w:bCs/>
                <w:i/>
                <w:sz w:val="24"/>
                <w:szCs w:val="24"/>
                <w:highlight w:val="none"/>
              </w:rPr>
            </w:r>
          </w:p>
          <w:p w14:paraId="030ED001">
            <w:pPr>
              <w:pStyle w:val="941"/>
              <w:pBdr/>
              <w:spacing/>
              <w:ind/>
              <w:rPr>
                <w:rFonts w:ascii="Arial" w:hAnsi="Arial" w:cs="Arial"/>
                <w:sz w:val="22"/>
                <w:szCs w:val="22"/>
              </w:rPr>
            </w:pPr>
            <w:r>
              <w:rPr>
                <w:rFonts w:ascii="Arial" w:hAnsi="Arial" w:eastAsia="Arial" w:cs="Arial"/>
                <w:sz w:val="22"/>
                <w:szCs w:val="22"/>
                <w:highlight w:val="none"/>
                <w:lang w:val="ro-RO"/>
              </w:rPr>
              <w:t xml:space="preserve">13. Creștinismul și arhitectura</w:t>
            </w:r>
            <w:r>
              <w:rPr>
                <w:rFonts w:ascii="Arial" w:hAnsi="Arial" w:cs="Arial"/>
                <w:sz w:val="22"/>
                <w:szCs w:val="22"/>
              </w:rPr>
            </w:r>
            <w:r>
              <w:rPr>
                <w:rFonts w:ascii="Arial" w:hAnsi="Arial" w:cs="Arial"/>
                <w:sz w:val="22"/>
                <w:szCs w:val="22"/>
              </w:rPr>
            </w:r>
          </w:p>
          <w:p w14:paraId="66620897">
            <w:pPr>
              <w:pStyle w:val="941"/>
              <w:pBdr/>
              <w:spacing/>
              <w:ind/>
              <w:rPr>
                <w:sz w:val="24"/>
                <w:szCs w:val="24"/>
                <w14:ligatures w14:val="none"/>
              </w:rPr>
            </w:pPr>
            <w:r>
              <w:rPr>
                <w:sz w:val="24"/>
                <w:szCs w:val="24"/>
                <w:highlight w:val="none"/>
              </w:rPr>
            </w:r>
            <w:r>
              <w:rPr>
                <w:sz w:val="24"/>
                <w:szCs w:val="24"/>
                <w:highlight w:val="none"/>
              </w:rPr>
              <w:t xml:space="preserve">14. </w:t>
            </w:r>
            <w:r>
              <w:rPr>
                <w:sz w:val="24"/>
                <w:szCs w:val="24"/>
                <w:lang w:val="en-US"/>
              </w:rPr>
              <w:t xml:space="preserve">Creştinismul şi artele</w:t>
            </w:r>
            <w:r>
              <w:rPr>
                <w:sz w:val="24"/>
                <w:szCs w:val="24"/>
              </w:rPr>
              <w:t xml:space="preserve">. Identitate socială și artistică</w:t>
            </w:r>
            <w:r>
              <w:rPr>
                <w:sz w:val="24"/>
                <w:szCs w:val="24"/>
                <w14:ligatures w14:val="none"/>
              </w:rPr>
            </w:r>
            <w:r>
              <w:rPr>
                <w:sz w:val="24"/>
                <w:szCs w:val="24"/>
                <w14:ligatures w14:val="none"/>
              </w:rPr>
            </w:r>
          </w:p>
          <w:p w14:paraId="5949DB82">
            <w:pPr>
              <w:pStyle w:val="937"/>
              <w:pBdr/>
              <w:spacing/>
              <w:ind/>
              <w:rPr>
                <w:sz w:val="22"/>
                <w:szCs w:val="22"/>
                <w:highlight w:val="none"/>
                <w14:ligatures w14:val="none"/>
              </w:rPr>
            </w:pPr>
            <w:r>
              <w:rPr>
                <w:sz w:val="22"/>
                <w:szCs w:val="22"/>
              </w:rPr>
              <w:t xml:space="preserve">Creștinii și artele (arhitectura, pictura, sculptura, design interior și exterior, reprezentarea divinității, moda vestimentară etc.).</w:t>
            </w:r>
            <w:r>
              <w:rPr>
                <w:sz w:val="22"/>
                <w:szCs w:val="22"/>
                <w:highlight w:val="none"/>
                <w14:ligatures w14:val="none"/>
              </w:rPr>
            </w:r>
            <w:r>
              <w:rPr>
                <w:sz w:val="22"/>
                <w:szCs w:val="22"/>
                <w:highlight w:val="none"/>
                <w14:ligatures w14:val="none"/>
              </w:rPr>
            </w:r>
          </w:p>
          <w:p w14:paraId="6AC73F6C">
            <w:pPr>
              <w:pBdr/>
              <w:spacing/>
              <w:ind/>
              <w:rPr>
                <w:sz w:val="22"/>
                <w:szCs w:val="22"/>
              </w:rPr>
            </w:pPr>
            <w:r>
              <w:rPr>
                <w:sz w:val="22"/>
                <w:szCs w:val="22"/>
              </w:rPr>
            </w:r>
            <w:r>
              <w:rPr>
                <w:sz w:val="22"/>
                <w:szCs w:val="22"/>
              </w:rPr>
            </w:r>
            <w:r>
              <w:rPr>
                <w:sz w:val="22"/>
                <w:szCs w:val="22"/>
              </w:rPr>
            </w:r>
          </w:p>
          <w:p w14:paraId="6C7AECBC">
            <w:pPr>
              <w:pStyle w:val="941"/>
              <w:pBdr/>
              <w:spacing/>
              <w:ind/>
              <w:rPr>
                <w:sz w:val="22"/>
                <w:szCs w:val="22"/>
              </w:rPr>
            </w:pPr>
            <w:r>
              <w:rPr>
                <w:sz w:val="22"/>
                <w:szCs w:val="22"/>
                <w:lang w:val="en-US"/>
              </w:rPr>
              <w:t xml:space="preserve">Recapitulare. Concluzii. Perspective finale</w:t>
            </w:r>
            <w:r>
              <w:rPr>
                <w:sz w:val="22"/>
                <w:szCs w:val="22"/>
              </w:rPr>
            </w:r>
            <w:r>
              <w:rPr>
                <w:sz w:val="22"/>
                <w:szCs w:val="22"/>
              </w:rPr>
            </w:r>
          </w:p>
          <w:p w14:paraId="49F7BD79">
            <w:pPr>
              <w:pBdr/>
              <w:spacing/>
              <w:ind/>
              <w:rPr/>
            </w:pPr>
            <w:r/>
            <w:r/>
          </w:p>
          <w:p w14:paraId="558C4406">
            <w:pPr>
              <w:pStyle w:val="941"/>
              <w:pBdr/>
              <w:spacing/>
              <w:ind/>
              <w:rPr/>
            </w:pPr>
            <w:r>
              <w:rPr>
                <w:sz w:val="22"/>
                <w:szCs w:val="22"/>
                <w:lang w:val="ro-RO"/>
              </w:rPr>
              <w:t xml:space="preserve">Examinare</w:t>
            </w:r>
            <w:r>
              <w:rPr>
                <w:sz w:val="22"/>
                <w:szCs w:val="22"/>
              </w:rPr>
            </w:r>
            <w:r/>
          </w:p>
        </w:tc>
      </w:tr>
    </w:tbl>
    <w:p>
      <w:pPr>
        <w:pStyle w:val="937"/>
        <w:pBdr/>
        <w:spacing/>
        <w:ind/>
        <w:jc w:val="center"/>
        <w:rPr>
          <w:rFonts w:ascii="Gentium" w:hAnsi="Gentium"/>
          <w:b/>
          <w:sz w:val="22"/>
          <w:szCs w:val="22"/>
        </w:rPr>
      </w:pPr>
      <w:r>
        <w:rPr>
          <w:rFonts w:ascii="Gentium" w:hAnsi="Gentium"/>
          <w:b/>
          <w:sz w:val="22"/>
          <w:szCs w:val="22"/>
        </w:rPr>
      </w:r>
      <w:r>
        <w:rPr>
          <w:rFonts w:ascii="Gentium" w:hAnsi="Gentium"/>
          <w:b/>
          <w:sz w:val="22"/>
          <w:szCs w:val="22"/>
        </w:rPr>
      </w:r>
      <w:r>
        <w:rPr>
          <w:rFonts w:ascii="Gentium" w:hAnsi="Gentium"/>
          <w:b/>
          <w:sz w:val="22"/>
          <w:szCs w:val="22"/>
        </w:rPr>
      </w:r>
    </w:p>
    <w:p>
      <w:pPr>
        <w:pStyle w:val="937"/>
        <w:pBdr/>
        <w:spacing/>
        <w:ind/>
        <w:rPr>
          <w:rFonts w:ascii="Gentium" w:hAnsi="Gentium"/>
          <w:b/>
          <w:sz w:val="24"/>
          <w:szCs w:val="24"/>
        </w:rPr>
      </w:pPr>
      <w:r>
        <w:rPr>
          <w:rFonts w:ascii="Gentium" w:hAnsi="Gentium"/>
          <w:b/>
          <w:sz w:val="22"/>
          <w:szCs w:val="22"/>
        </w:rPr>
        <w:t xml:space="preserve">Coroborarea conținuturilor disciplinei cu așteptările reprezentanţilor comunităţii epistemice, </w:t>
      </w:r>
      <w:r>
        <w:rPr>
          <w:rFonts w:ascii="Gentium" w:hAnsi="Gentium"/>
          <w:b/>
        </w:rPr>
        <w:t xml:space="preserve">asociaţiilor  profesionale şi angajatori reprezentativi din domeniul aferent programului</w:t>
      </w:r>
      <w:r>
        <w:rPr>
          <w:rFonts w:ascii="Gentium" w:hAnsi="Gentium"/>
          <w:b/>
          <w:sz w:val="24"/>
          <w:szCs w:val="24"/>
        </w:rPr>
      </w:r>
      <w:r>
        <w:rPr>
          <w:rFonts w:ascii="Gentium" w:hAnsi="Gentium"/>
          <w:b/>
          <w:sz w:val="24"/>
          <w:szCs w:val="24"/>
        </w:rPr>
      </w:r>
    </w:p>
    <w:tbl>
      <w:tblPr>
        <w:tblInd w:w="0" w:type="dxa"/>
        <w:tblW w:w="10030" w:type="dxa"/>
        <w:tblCellMar>
          <w:left w:w="108" w:type="dxa"/>
          <w:top w:w="0" w:type="dxa"/>
          <w:right w:w="108" w:type="dxa"/>
          <w:bottom w:w="0" w:type="dxa"/>
        </w:tblCellMar>
        <w:tblBorders/>
        <w:tblLayout w:type="fixed"/>
        <w:tblLook w:val="04A0" w:firstRow="1" w:lastRow="0" w:firstColumn="1" w:lastColumn="0" w:noHBand="0" w:noVBand="1"/>
      </w:tblPr>
      <w:tblGrid>
        <w:gridCol w:w="10030"/>
      </w:tblGrid>
      <w:tr>
        <w:trPr/>
        <w:tc>
          <w:tcPr>
            <w:tcBorders>
              <w:top w:val="single" w:color="000000" w:sz="4" w:space="0"/>
              <w:left w:val="single" w:color="000000" w:sz="4" w:space="0"/>
              <w:bottom w:val="single" w:color="000000" w:sz="4" w:space="0"/>
              <w:right w:val="single" w:color="000000" w:sz="4" w:space="0"/>
            </w:tcBorders>
            <w:tcW w:w="10030" w:type="dxa"/>
            <w:textDirection w:val="lrTb"/>
            <w:noWrap w:val="false"/>
          </w:tcPr>
          <w:p>
            <w:pPr>
              <w:pStyle w:val="937"/>
              <w:numPr>
                <w:ilvl w:val="0"/>
                <w:numId w:val="4"/>
              </w:numPr>
              <w:pBdr/>
              <w:spacing/>
              <w:ind w:hanging="360" w:left="0"/>
              <w:rPr>
                <w:rFonts w:ascii="Gentium" w:hAnsi="Gentium"/>
                <w:sz w:val="24"/>
                <w:szCs w:val="24"/>
              </w:rPr>
            </w:pPr>
            <w:r>
              <w:rPr>
                <w:rFonts w:ascii="Gentium" w:hAnsi="Gentium"/>
                <w:lang w:val="en-US"/>
              </w:rPr>
              <w:t xml:space="preserve">Lucrările de tip eseu ştiinţific, s</w:t>
            </w:r>
            <w:r>
              <w:rPr>
                <w:rFonts w:ascii="Gentium" w:hAnsi="Gentium"/>
              </w:rPr>
              <w:t xml:space="preserve">tudiile de caz şi </w:t>
            </w:r>
            <w:r>
              <w:rPr>
                <w:rFonts w:ascii="Gentium" w:hAnsi="Gentium"/>
                <w:lang w:val="en-US"/>
              </w:rPr>
              <w:t xml:space="preserve">ale </w:t>
            </w:r>
            <w:r>
              <w:rPr>
                <w:rFonts w:ascii="Gentium" w:hAnsi="Gentium"/>
              </w:rPr>
              <w:t xml:space="preserve">lucrările practice se efectuează conform </w:t>
            </w:r>
            <w:r>
              <w:rPr>
                <w:rFonts w:ascii="Gentium" w:hAnsi="Gentium"/>
                <w:lang w:val="en-US"/>
              </w:rPr>
              <w:t xml:space="preserve">metodologiei proprii ştiinţelor teologice, filozofice şi social – istorice.</w:t>
            </w:r>
            <w:r>
              <w:rPr>
                <w:rFonts w:ascii="Gentium" w:hAnsi="Gentium"/>
                <w:sz w:val="24"/>
                <w:szCs w:val="24"/>
              </w:rPr>
            </w:r>
            <w:r>
              <w:rPr>
                <w:rFonts w:ascii="Gentium" w:hAnsi="Gentium"/>
                <w:sz w:val="24"/>
                <w:szCs w:val="24"/>
              </w:rPr>
            </w:r>
          </w:p>
        </w:tc>
      </w:tr>
    </w:tbl>
    <w:p>
      <w:pPr>
        <w:pStyle w:val="937"/>
        <w:pBdr/>
        <w:spacing/>
        <w:ind/>
        <w:jc w:val="center"/>
        <w:rPr>
          <w:rFonts w:ascii="Gentium" w:hAnsi="Gentium"/>
          <w:sz w:val="16"/>
          <w:szCs w:val="16"/>
        </w:rPr>
      </w:pPr>
      <w:r>
        <w:rPr>
          <w:rFonts w:ascii="Gentium" w:hAnsi="Gentium"/>
          <w:sz w:val="16"/>
          <w:szCs w:val="16"/>
        </w:rPr>
      </w:r>
      <w:r>
        <w:rPr>
          <w:rFonts w:ascii="Gentium" w:hAnsi="Gentium"/>
          <w:sz w:val="16"/>
          <w:szCs w:val="16"/>
        </w:rPr>
      </w:r>
      <w:r>
        <w:rPr>
          <w:rFonts w:ascii="Gentium" w:hAnsi="Gentium"/>
          <w:sz w:val="16"/>
          <w:szCs w:val="16"/>
        </w:rPr>
      </w:r>
    </w:p>
    <w:p>
      <w:pPr>
        <w:pStyle w:val="937"/>
        <w:pBdr/>
        <w:tabs>
          <w:tab w:val="clear" w:leader="none" w:pos="432"/>
          <w:tab w:val="center" w:leader="none" w:pos="4873"/>
        </w:tabs>
        <w:spacing/>
        <w:ind/>
        <w:rPr>
          <w:rFonts w:ascii="Gentium" w:hAnsi="Gentium"/>
          <w:b/>
        </w:rPr>
      </w:pPr>
      <w:r>
        <w:rPr>
          <w:rFonts w:ascii="Gentium" w:hAnsi="Gentium"/>
          <w:b/>
        </w:rPr>
        <w:t xml:space="preserve">Evaluare</w:t>
        <w:tab/>
      </w:r>
      <w:r>
        <w:rPr>
          <w:rFonts w:ascii="Gentium" w:hAnsi="Gentium"/>
          <w:b/>
        </w:rPr>
      </w:r>
      <w:r>
        <w:rPr>
          <w:rFonts w:ascii="Gentium" w:hAnsi="Gentium"/>
          <w:b/>
        </w:rPr>
      </w:r>
    </w:p>
    <w:tbl>
      <w:tblPr>
        <w:tblInd w:w="0" w:type="dxa"/>
        <w:tblW w:w="9962" w:type="dxa"/>
        <w:tblCellMar>
          <w:left w:w="108" w:type="dxa"/>
          <w:top w:w="0" w:type="dxa"/>
          <w:right w:w="108" w:type="dxa"/>
          <w:bottom w:w="0" w:type="dxa"/>
        </w:tblCellMar>
        <w:tblBorders/>
        <w:tblLayout w:type="fixed"/>
        <w:tblLook w:val="04A0" w:firstRow="1" w:lastRow="0" w:firstColumn="1" w:lastColumn="0" w:noHBand="0" w:noVBand="1"/>
      </w:tblPr>
      <w:tblGrid>
        <w:gridCol w:w="2553"/>
        <w:gridCol w:w="2232"/>
        <w:gridCol w:w="3686"/>
        <w:gridCol w:w="1491"/>
      </w:tblGrid>
      <w:tr>
        <w:trPr/>
        <w:tc>
          <w:tcPr>
            <w:shd w:val="clear" w:color="ffffff" w:fill="ffffff"/>
            <w:tcBorders>
              <w:top w:val="single" w:color="000000" w:sz="4" w:space="0"/>
              <w:left w:val="single" w:color="000000" w:sz="4" w:space="0"/>
              <w:bottom w:val="single" w:color="000000" w:sz="4" w:space="0"/>
              <w:right w:val="single" w:color="000000" w:sz="4" w:space="0"/>
            </w:tcBorders>
            <w:tcW w:w="2553" w:type="dxa"/>
            <w:textDirection w:val="lrTb"/>
            <w:noWrap w:val="false"/>
          </w:tcPr>
          <w:p>
            <w:pPr>
              <w:pStyle w:val="937"/>
              <w:pBdr/>
              <w:spacing/>
              <w:ind/>
              <w:rPr>
                <w:rFonts w:ascii="Gentium" w:hAnsi="Gentium"/>
              </w:rPr>
            </w:pPr>
            <w:r>
              <w:rPr>
                <w:rFonts w:ascii="Gentium" w:hAnsi="Gentium"/>
              </w:rPr>
              <w:t xml:space="preserve">Tip activitate</w:t>
            </w:r>
            <w:r>
              <w:rPr>
                <w:rFonts w:ascii="Gentium" w:hAnsi="Gentium"/>
              </w:rPr>
            </w:r>
            <w:r>
              <w:rPr>
                <w:rFonts w:ascii="Gentium" w:hAnsi="Gentium"/>
              </w:rPr>
            </w:r>
          </w:p>
        </w:tc>
        <w:tc>
          <w:tcPr>
            <w:shd w:val="clear" w:color="ffffff" w:fill="ffffff"/>
            <w:tcBorders>
              <w:top w:val="single" w:color="000000" w:sz="4" w:space="0"/>
              <w:left w:val="single" w:color="000000" w:sz="4" w:space="0"/>
              <w:bottom w:val="single" w:color="000000" w:sz="4" w:space="0"/>
              <w:right w:val="single" w:color="000000" w:sz="4" w:space="0"/>
            </w:tcBorders>
            <w:tcW w:w="2232" w:type="dxa"/>
            <w:textDirection w:val="lrTb"/>
            <w:noWrap w:val="false"/>
          </w:tcPr>
          <w:p>
            <w:pPr>
              <w:pStyle w:val="937"/>
              <w:pBdr/>
              <w:spacing/>
              <w:ind w:right="-154" w:left="46"/>
              <w:rPr>
                <w:rFonts w:ascii="Gentium" w:hAnsi="Gentium"/>
              </w:rPr>
            </w:pPr>
            <w:r>
              <w:rPr>
                <w:rFonts w:ascii="Gentium" w:hAnsi="Gentium"/>
              </w:rPr>
              <w:t xml:space="preserve">10.1 Tip de evaluare</w:t>
            </w:r>
            <w:r>
              <w:rPr>
                <w:rFonts w:ascii="Gentium" w:hAnsi="Gentium"/>
              </w:rPr>
            </w:r>
            <w:r>
              <w:rPr>
                <w:rFonts w:ascii="Gentium" w:hAnsi="Gentium"/>
              </w:rPr>
            </w:r>
          </w:p>
        </w:tc>
        <w:tc>
          <w:tcPr>
            <w:tcBorders>
              <w:top w:val="single" w:color="000000" w:sz="4" w:space="0"/>
              <w:left w:val="single" w:color="000000" w:sz="4" w:space="0"/>
              <w:bottom w:val="single" w:color="000000" w:sz="4" w:space="0"/>
              <w:right w:val="single" w:color="000000" w:sz="4" w:space="0"/>
            </w:tcBorders>
            <w:tcW w:w="3686" w:type="dxa"/>
            <w:textDirection w:val="lrTb"/>
            <w:noWrap w:val="false"/>
          </w:tcPr>
          <w:p>
            <w:pPr>
              <w:pStyle w:val="937"/>
              <w:pBdr/>
              <w:spacing/>
              <w:ind/>
              <w:rPr>
                <w:rFonts w:ascii="Gentium" w:hAnsi="Gentium"/>
              </w:rPr>
            </w:pPr>
            <w:r>
              <w:rPr>
                <w:rFonts w:ascii="Gentium" w:hAnsi="Gentium"/>
              </w:rPr>
              <w:t xml:space="preserve">10.2 Metode de evaluare</w:t>
            </w:r>
            <w:r>
              <w:rPr>
                <w:rFonts w:ascii="Gentium" w:hAnsi="Gentium"/>
              </w:rPr>
            </w:r>
            <w:r>
              <w:rPr>
                <w:rFonts w:ascii="Gentium" w:hAnsi="Gentium"/>
              </w:rPr>
            </w:r>
          </w:p>
        </w:tc>
        <w:tc>
          <w:tcPr>
            <w:tcBorders>
              <w:top w:val="single" w:color="000000" w:sz="4" w:space="0"/>
              <w:left w:val="single" w:color="000000" w:sz="4" w:space="0"/>
              <w:bottom w:val="single" w:color="000000" w:sz="4" w:space="0"/>
              <w:right w:val="single" w:color="000000" w:sz="4" w:space="0"/>
            </w:tcBorders>
            <w:tcW w:w="1491" w:type="dxa"/>
            <w:textDirection w:val="lrTb"/>
            <w:noWrap w:val="false"/>
          </w:tcPr>
          <w:p>
            <w:pPr>
              <w:pStyle w:val="937"/>
              <w:pBdr/>
              <w:spacing/>
              <w:ind/>
              <w:rPr>
                <w:rFonts w:ascii="Gentium" w:hAnsi="Gentium"/>
              </w:rPr>
            </w:pPr>
            <w:r>
              <w:rPr>
                <w:rFonts w:ascii="Gentium" w:hAnsi="Gentium"/>
              </w:rPr>
              <w:t xml:space="preserve">10.3 Pondere din nota finală</w:t>
            </w:r>
            <w:r>
              <w:rPr>
                <w:rFonts w:ascii="Gentium" w:hAnsi="Gentium"/>
              </w:rPr>
            </w:r>
            <w:r>
              <w:rPr>
                <w:rFonts w:ascii="Gentium" w:hAnsi="Gentium"/>
              </w:rPr>
            </w:r>
          </w:p>
        </w:tc>
      </w:tr>
      <w:tr>
        <w:trPr>
          <w:trHeight w:val="135"/>
        </w:trPr>
        <w:tc>
          <w:tcPr>
            <w:shd w:val="clear" w:color="ffffff" w:fill="ffffff"/>
            <w:tcBorders>
              <w:top w:val="single" w:color="000000" w:sz="4" w:space="0"/>
              <w:left w:val="single" w:color="000000" w:sz="4" w:space="0"/>
              <w:bottom w:val="single" w:color="000000" w:sz="4" w:space="0"/>
              <w:right w:val="single" w:color="000000" w:sz="4" w:space="0"/>
            </w:tcBorders>
            <w:tcW w:w="2553" w:type="dxa"/>
            <w:vMerge w:val="restart"/>
            <w:textDirection w:val="lrTb"/>
            <w:noWrap w:val="false"/>
          </w:tcPr>
          <w:p>
            <w:pPr>
              <w:pStyle w:val="937"/>
              <w:pBdr/>
              <w:spacing/>
              <w:ind/>
              <w:rPr>
                <w:rFonts w:ascii="Gentium" w:hAnsi="Gentium"/>
                <w:b/>
                <w:bCs/>
              </w:rPr>
            </w:pPr>
            <w:r>
              <w:rPr>
                <w:rFonts w:ascii="Gentium" w:hAnsi="Gentium"/>
                <w:b/>
                <w:bCs/>
              </w:rPr>
              <w:t xml:space="preserve">Curs</w:t>
            </w:r>
            <w:r>
              <w:rPr>
                <w:rFonts w:ascii="Gentium" w:hAnsi="Gentium"/>
                <w:b/>
                <w:bCs/>
              </w:rPr>
            </w:r>
            <w:r>
              <w:rPr>
                <w:rFonts w:ascii="Gentium" w:hAnsi="Gentium"/>
                <w:b/>
                <w:bCs/>
              </w:rPr>
            </w:r>
          </w:p>
        </w:tc>
        <w:tc>
          <w:tcPr>
            <w:shd w:val="clear" w:color="ffffff" w:fill="ffffff"/>
            <w:tcBorders>
              <w:top w:val="single" w:color="000000" w:sz="4" w:space="0"/>
              <w:left w:val="single" w:color="000000" w:sz="4" w:space="0"/>
              <w:bottom w:val="single" w:color="000000" w:sz="4" w:space="0"/>
              <w:right w:val="single" w:color="000000" w:sz="4" w:space="0"/>
            </w:tcBorders>
            <w:tcW w:w="2232" w:type="dxa"/>
            <w:textDirection w:val="lrTb"/>
            <w:noWrap w:val="false"/>
          </w:tcPr>
          <w:p>
            <w:pPr>
              <w:pStyle w:val="937"/>
              <w:pBdr/>
              <w:spacing/>
              <w:ind/>
              <w:rPr>
                <w:rFonts w:ascii="Gentium" w:hAnsi="Gentium"/>
                <w:i/>
              </w:rPr>
            </w:pPr>
            <w:r>
              <w:rPr>
                <w:rFonts w:ascii="Gentium" w:hAnsi="Gentium"/>
                <w:i/>
              </w:rPr>
              <w:t xml:space="preserve">Evaluare finală</w:t>
            </w:r>
            <w:r>
              <w:rPr>
                <w:rFonts w:ascii="Gentium" w:hAnsi="Gentium"/>
                <w:i/>
              </w:rPr>
            </w:r>
            <w:r>
              <w:rPr>
                <w:rFonts w:ascii="Gentium" w:hAnsi="Gentium"/>
                <w:i/>
              </w:rPr>
            </w:r>
          </w:p>
        </w:tc>
        <w:tc>
          <w:tcPr>
            <w:tcBorders>
              <w:top w:val="single" w:color="000000" w:sz="4" w:space="0"/>
              <w:left w:val="single" w:color="000000" w:sz="4" w:space="0"/>
              <w:bottom w:val="single" w:color="000000" w:sz="4" w:space="0"/>
              <w:right w:val="single" w:color="000000" w:sz="4" w:space="0"/>
            </w:tcBorders>
            <w:tcW w:w="3686" w:type="dxa"/>
            <w:textDirection w:val="lrTb"/>
            <w:noWrap w:val="false"/>
          </w:tcPr>
          <w:p>
            <w:pPr>
              <w:pStyle w:val="937"/>
              <w:pBdr/>
              <w:spacing/>
              <w:ind/>
              <w:rPr>
                <w:rFonts w:ascii="Gentium" w:hAnsi="Gentium"/>
                <w:i/>
              </w:rPr>
            </w:pPr>
            <w:r>
              <w:rPr>
                <w:rFonts w:ascii="Gentium" w:hAnsi="Gentium"/>
                <w:i/>
              </w:rPr>
              <w:t xml:space="preserve">Exameninare prin eseu lung</w:t>
            </w:r>
            <w:r>
              <w:rPr>
                <w:rFonts w:ascii="Gentium" w:hAnsi="Gentium"/>
                <w:i/>
              </w:rPr>
            </w:r>
            <w:r>
              <w:rPr>
                <w:rFonts w:ascii="Gentium" w:hAnsi="Gentium"/>
                <w:i/>
              </w:rPr>
            </w:r>
          </w:p>
        </w:tc>
        <w:tc>
          <w:tcPr>
            <w:tcBorders>
              <w:top w:val="single" w:color="000000" w:sz="4" w:space="0"/>
              <w:left w:val="single" w:color="000000" w:sz="4" w:space="0"/>
              <w:bottom w:val="single" w:color="000000" w:sz="4" w:space="0"/>
              <w:right w:val="single" w:color="000000" w:sz="4" w:space="0"/>
            </w:tcBorders>
            <w:tcW w:w="1491" w:type="dxa"/>
            <w:textDirection w:val="lrTb"/>
            <w:noWrap w:val="false"/>
          </w:tcPr>
          <w:p>
            <w:pPr>
              <w:pStyle w:val="937"/>
              <w:pBdr/>
              <w:spacing/>
              <w:ind/>
              <w:rPr>
                <w:rFonts w:ascii="Gentium" w:hAnsi="Gentium"/>
              </w:rPr>
            </w:pPr>
            <w:r>
              <w:rPr>
                <w:rFonts w:ascii="Gentium" w:hAnsi="Gentium"/>
              </w:rPr>
              <w:t xml:space="preserve">80%</w:t>
            </w:r>
            <w:r>
              <w:rPr>
                <w:rFonts w:ascii="Gentium" w:hAnsi="Gentium"/>
              </w:rPr>
            </w:r>
            <w:r>
              <w:rPr>
                <w:rFonts w:ascii="Gentium" w:hAnsi="Gentium"/>
              </w:rPr>
            </w:r>
          </w:p>
        </w:tc>
      </w:tr>
      <w:tr>
        <w:trPr>
          <w:trHeight w:val="554"/>
        </w:trPr>
        <w:tc>
          <w:tcPr>
            <w:tcBorders>
              <w:top w:val="single" w:color="000000" w:sz="4" w:space="0"/>
              <w:left w:val="single" w:color="000000" w:sz="4" w:space="0"/>
              <w:bottom w:val="single" w:color="000000" w:sz="4" w:space="0"/>
              <w:right w:val="single" w:color="000000" w:sz="4" w:space="0"/>
            </w:tcBorders>
            <w:tcW w:w="2553" w:type="dxa"/>
            <w:vAlign w:val="center"/>
            <w:vMerge w:val="continue"/>
            <w:textDirection w:val="lrTb"/>
            <w:noWrap w:val="false"/>
          </w:tcPr>
          <w:p>
            <w:pPr>
              <w:pStyle w:val="937"/>
              <w:pBdr/>
              <w:spacing/>
              <w:ind/>
              <w:rPr>
                <w:rFonts w:ascii="Gentium" w:hAnsi="Gentium"/>
              </w:rPr>
            </w:pPr>
            <w:r>
              <w:rPr>
                <w:rFonts w:ascii="Gentium" w:hAnsi="Gentium"/>
              </w:rPr>
            </w:r>
            <w:r>
              <w:rPr>
                <w:rFonts w:ascii="Gentium" w:hAnsi="Gentium"/>
              </w:rPr>
            </w:r>
            <w:r>
              <w:rPr>
                <w:rFonts w:ascii="Gentium" w:hAnsi="Gentium"/>
              </w:rPr>
            </w:r>
          </w:p>
        </w:tc>
        <w:tc>
          <w:tcPr>
            <w:tcBorders>
              <w:top w:val="single" w:color="000000" w:sz="4" w:space="0"/>
              <w:left w:val="single" w:color="000000" w:sz="4" w:space="0"/>
              <w:bottom w:val="single" w:color="000000" w:sz="4" w:space="0"/>
              <w:right w:val="single" w:color="000000" w:sz="4" w:space="0"/>
            </w:tcBorders>
            <w:tcW w:w="2232" w:type="dxa"/>
            <w:vAlign w:val="center"/>
            <w:textDirection w:val="lrTb"/>
            <w:noWrap w:val="false"/>
          </w:tcPr>
          <w:p>
            <w:pPr>
              <w:pStyle w:val="937"/>
              <w:pBdr/>
              <w:spacing/>
              <w:ind/>
              <w:rPr>
                <w:rFonts w:ascii="Gentium" w:hAnsi="Gentium"/>
                <w:i/>
              </w:rPr>
            </w:pPr>
            <w:r>
              <w:rPr>
                <w:rFonts w:ascii="Gentium" w:hAnsi="Gentium"/>
                <w:i/>
              </w:rPr>
            </w:r>
            <w:r>
              <w:rPr>
                <w:rFonts w:ascii="Gentium" w:hAnsi="Gentium"/>
                <w:i/>
              </w:rPr>
            </w:r>
            <w:r>
              <w:rPr>
                <w:rFonts w:ascii="Gentium" w:hAnsi="Gentium"/>
                <w:i/>
              </w:rPr>
            </w:r>
          </w:p>
        </w:tc>
        <w:tc>
          <w:tcPr>
            <w:tcBorders>
              <w:top w:val="single" w:color="000000" w:sz="4" w:space="0"/>
              <w:left w:val="single" w:color="000000" w:sz="4" w:space="0"/>
              <w:bottom w:val="single" w:color="000000" w:sz="4" w:space="0"/>
              <w:right w:val="single" w:color="000000" w:sz="4" w:space="0"/>
            </w:tcBorders>
            <w:tcW w:w="3686" w:type="dxa"/>
            <w:textDirection w:val="lrTb"/>
            <w:noWrap w:val="false"/>
          </w:tcPr>
          <w:p w14:paraId="3F68AC84">
            <w:pPr>
              <w:pBdr/>
              <w:spacing/>
              <w:ind/>
              <w:rPr/>
            </w:pPr>
            <w:r/>
            <w:r/>
          </w:p>
        </w:tc>
        <w:tc>
          <w:tcPr>
            <w:tcBorders>
              <w:top w:val="single" w:color="000000" w:sz="4" w:space="0"/>
              <w:left w:val="single" w:color="000000" w:sz="4" w:space="0"/>
              <w:bottom w:val="single" w:color="000000" w:sz="4" w:space="0"/>
              <w:right w:val="single" w:color="000000" w:sz="4" w:space="0"/>
            </w:tcBorders>
            <w:tcW w:w="1491" w:type="dxa"/>
            <w:textDirection w:val="lrTb"/>
            <w:noWrap w:val="false"/>
          </w:tcPr>
          <w:p w14:paraId="2B3EC408">
            <w:pPr>
              <w:pBdr/>
              <w:spacing/>
              <w:ind/>
              <w:rPr/>
            </w:pPr>
            <w:r/>
            <w:r/>
          </w:p>
        </w:tc>
      </w:tr>
      <w:tr>
        <w:trPr>
          <w:trHeight w:val="135"/>
        </w:trPr>
        <w:tc>
          <w:tcPr>
            <w:shd w:val="clear" w:color="ffffff" w:fill="ffffff"/>
            <w:tcBorders>
              <w:top w:val="single" w:color="000000" w:sz="4" w:space="0"/>
              <w:left w:val="single" w:color="000000" w:sz="4" w:space="0"/>
              <w:bottom w:val="single" w:color="000000" w:sz="4" w:space="0"/>
              <w:right w:val="single" w:color="000000" w:sz="4" w:space="0"/>
            </w:tcBorders>
            <w:tcW w:w="2553" w:type="dxa"/>
            <w:textDirection w:val="lrTb"/>
            <w:noWrap w:val="false"/>
          </w:tcPr>
          <w:p>
            <w:pPr>
              <w:pStyle w:val="937"/>
              <w:pBdr/>
              <w:spacing/>
              <w:ind/>
              <w:rPr>
                <w:rFonts w:ascii="Gentium" w:hAnsi="Gentium"/>
                <w:b/>
                <w:bCs/>
              </w:rPr>
            </w:pPr>
            <w:r>
              <w:rPr>
                <w:rFonts w:ascii="Gentium" w:hAnsi="Gentium"/>
                <w:b/>
                <w:bCs/>
              </w:rPr>
              <w:t xml:space="preserve">Seminar/laborator</w:t>
            </w:r>
            <w:r>
              <w:rPr>
                <w:rFonts w:ascii="Gentium" w:hAnsi="Gentium"/>
                <w:b/>
                <w:bCs/>
              </w:rPr>
            </w:r>
            <w:r>
              <w:rPr>
                <w:rFonts w:ascii="Gentium" w:hAnsi="Gentium"/>
                <w:b/>
                <w:bCs/>
              </w:rPr>
            </w:r>
          </w:p>
        </w:tc>
        <w:tc>
          <w:tcPr>
            <w:shd w:val="clear" w:color="ffffff" w:fill="ffffff"/>
            <w:tcBorders>
              <w:top w:val="single" w:color="000000" w:sz="4" w:space="0"/>
              <w:left w:val="single" w:color="000000" w:sz="4" w:space="0"/>
              <w:bottom w:val="single" w:color="000000" w:sz="4" w:space="0"/>
              <w:right w:val="single" w:color="000000" w:sz="4" w:space="0"/>
            </w:tcBorders>
            <w:tcW w:w="2232" w:type="dxa"/>
            <w:textDirection w:val="lrTb"/>
            <w:noWrap w:val="false"/>
          </w:tcPr>
          <w:p>
            <w:pPr>
              <w:pStyle w:val="937"/>
              <w:pBdr/>
              <w:spacing/>
              <w:ind/>
              <w:rPr>
                <w:rFonts w:ascii="Gentium" w:hAnsi="Gentium"/>
                <w:i/>
              </w:rPr>
            </w:pPr>
            <w:r>
              <w:rPr>
                <w:rFonts w:ascii="Gentium" w:hAnsi="Gentium"/>
                <w:i/>
              </w:rPr>
              <w:t xml:space="preserve">Evaluare pe parcurs</w:t>
            </w:r>
            <w:r>
              <w:rPr>
                <w:rFonts w:ascii="Gentium" w:hAnsi="Gentium"/>
                <w:i/>
              </w:rPr>
            </w:r>
            <w:r>
              <w:rPr>
                <w:rFonts w:ascii="Gentium" w:hAnsi="Gentium"/>
                <w:i/>
              </w:rPr>
            </w:r>
          </w:p>
          <w:p>
            <w:pPr>
              <w:pStyle w:val="937"/>
              <w:pBdr/>
              <w:spacing/>
              <w:ind/>
              <w:rPr>
                <w:rFonts w:ascii="Gentium" w:hAnsi="Gentium"/>
                <w:i/>
              </w:rPr>
            </w:pPr>
            <w:r>
              <w:rPr>
                <w:rFonts w:ascii="Gentium" w:hAnsi="Gentium"/>
                <w:i/>
              </w:rPr>
            </w:r>
            <w:r>
              <w:rPr>
                <w:rFonts w:ascii="Gentium" w:hAnsi="Gentium"/>
                <w:i/>
              </w:rPr>
            </w:r>
            <w:r>
              <w:rPr>
                <w:rFonts w:ascii="Gentium" w:hAnsi="Gentium"/>
                <w:i/>
              </w:rPr>
            </w:r>
          </w:p>
        </w:tc>
        <w:tc>
          <w:tcPr>
            <w:tcBorders>
              <w:top w:val="single" w:color="000000" w:sz="4" w:space="0"/>
              <w:left w:val="single" w:color="000000" w:sz="4" w:space="0"/>
              <w:bottom w:val="single" w:color="000000" w:sz="4" w:space="0"/>
              <w:right w:val="single" w:color="000000" w:sz="4" w:space="0"/>
            </w:tcBorders>
            <w:tcW w:w="3686" w:type="dxa"/>
            <w:textDirection w:val="lrTb"/>
            <w:noWrap w:val="false"/>
          </w:tcPr>
          <w:p>
            <w:pPr>
              <w:pStyle w:val="937"/>
              <w:pBdr/>
              <w:spacing/>
              <w:ind/>
              <w:rPr>
                <w:rFonts w:ascii="Gentium" w:hAnsi="Gentium"/>
                <w:i/>
              </w:rPr>
            </w:pPr>
            <w:r>
              <w:rPr>
                <w:rFonts w:ascii="Gentium" w:hAnsi="Gentium"/>
                <w:i/>
              </w:rPr>
              <w:t xml:space="preserve">Verificarea prezenţei şi a implicării în activităţile de seminar semestriale</w:t>
            </w:r>
            <w:r>
              <w:rPr>
                <w:rFonts w:ascii="Gentium" w:hAnsi="Gentium"/>
                <w:i/>
              </w:rPr>
            </w:r>
            <w:r>
              <w:rPr>
                <w:rFonts w:ascii="Gentium" w:hAnsi="Gentium"/>
                <w:i/>
              </w:rPr>
            </w:r>
          </w:p>
        </w:tc>
        <w:tc>
          <w:tcPr>
            <w:tcBorders>
              <w:top w:val="single" w:color="000000" w:sz="4" w:space="0"/>
              <w:left w:val="single" w:color="000000" w:sz="4" w:space="0"/>
              <w:bottom w:val="single" w:color="000000" w:sz="4" w:space="0"/>
              <w:right w:val="single" w:color="000000" w:sz="4" w:space="0"/>
            </w:tcBorders>
            <w:tcW w:w="1491" w:type="dxa"/>
            <w:textDirection w:val="lrTb"/>
            <w:noWrap w:val="false"/>
          </w:tcPr>
          <w:p>
            <w:pPr>
              <w:pStyle w:val="937"/>
              <w:pBdr/>
              <w:spacing/>
              <w:ind/>
              <w:rPr>
                <w:rFonts w:ascii="Gentium" w:hAnsi="Gentium"/>
              </w:rPr>
            </w:pPr>
            <w:r>
              <w:rPr>
                <w:rFonts w:ascii="Gentium" w:hAnsi="Gentium"/>
                <w:lang w:val="en-US"/>
              </w:rPr>
              <w:t xml:space="preserve">2</w:t>
            </w:r>
            <w:r>
              <w:rPr>
                <w:rFonts w:ascii="Gentium" w:hAnsi="Gentium"/>
              </w:rPr>
              <w:t xml:space="preserve">0%</w:t>
            </w:r>
            <w:r>
              <w:rPr>
                <w:rFonts w:ascii="Gentium" w:hAnsi="Gentium"/>
              </w:rPr>
            </w:r>
            <w:r>
              <w:rPr>
                <w:rFonts w:ascii="Gentium" w:hAnsi="Gentium"/>
              </w:rPr>
            </w:r>
          </w:p>
        </w:tc>
      </w:tr>
      <w:tr>
        <w:trPr/>
        <w:tc>
          <w:tcPr>
            <w:gridSpan w:val="4"/>
            <w:tcBorders>
              <w:top w:val="single" w:color="000000" w:sz="4" w:space="0"/>
              <w:left w:val="single" w:color="000000" w:sz="4" w:space="0"/>
              <w:bottom w:val="single" w:color="000000" w:sz="4" w:space="0"/>
              <w:right w:val="single" w:color="000000" w:sz="4" w:space="0"/>
            </w:tcBorders>
            <w:tcW w:w="9962" w:type="dxa"/>
            <w:textDirection w:val="lrTb"/>
            <w:noWrap w:val="false"/>
          </w:tcPr>
          <w:p>
            <w:pPr>
              <w:pStyle w:val="937"/>
              <w:pBdr/>
              <w:spacing/>
              <w:ind/>
              <w:rPr>
                <w:rFonts w:ascii="Gentium" w:hAnsi="Gentium"/>
                <w:b/>
                <w:bCs/>
              </w:rPr>
            </w:pPr>
            <w:r>
              <w:rPr>
                <w:rFonts w:ascii="Gentium" w:hAnsi="Gentium"/>
                <w:b/>
                <w:bCs/>
              </w:rPr>
              <w:t xml:space="preserve">Standard minim de performanţă:</w:t>
            </w:r>
            <w:r>
              <w:rPr>
                <w:rFonts w:ascii="Gentium" w:hAnsi="Gentium"/>
                <w:b/>
                <w:bCs/>
              </w:rPr>
            </w:r>
            <w:r>
              <w:rPr>
                <w:rFonts w:ascii="Gentium" w:hAnsi="Gentium"/>
                <w:b/>
                <w:bCs/>
              </w:rPr>
            </w:r>
          </w:p>
          <w:p>
            <w:pPr>
              <w:pStyle w:val="937"/>
              <w:pBdr/>
              <w:spacing/>
              <w:ind/>
              <w:rPr>
                <w:rFonts w:ascii="Gentium" w:hAnsi="Gentium"/>
                <w:highlight w:val="none"/>
              </w:rPr>
            </w:pPr>
            <w:r>
              <w:rPr>
                <w:rFonts w:ascii="Gentium" w:hAnsi="Gentium"/>
              </w:rPr>
              <w:t xml:space="preserve">Lucrare / eseu: De ex.: Cunoașterea interacțiuni culturale și sociale în NT (evanghelii, epistole, apocalipsa), </w:t>
            </w:r>
            <w:r>
              <w:rPr>
                <w:rFonts w:ascii="Gentium" w:hAnsi="Gentium"/>
                <w:lang w:val="en-US"/>
              </w:rPr>
              <w:t xml:space="preserve">20</w:t>
            </w:r>
            <w:r>
              <w:rPr>
                <w:rFonts w:ascii="Gentium" w:hAnsi="Gentium"/>
              </w:rPr>
              <w:t xml:space="preserve">00 cuvinte</w:t>
            </w:r>
            <w:r>
              <w:rPr>
                <w:rFonts w:ascii="Gentium" w:hAnsi="Gentium"/>
                <w:highlight w:val="none"/>
              </w:rPr>
            </w:r>
            <w:r>
              <w:rPr>
                <w:rFonts w:ascii="Gentium" w:hAnsi="Gentium"/>
                <w:highlight w:val="none"/>
              </w:rPr>
            </w:r>
          </w:p>
          <w:p w14:paraId="6D5E2313">
            <w:pPr>
              <w:pBdr/>
              <w:spacing/>
              <w:ind/>
              <w:rPr>
                <w:rFonts w:ascii="Gentium" w:hAnsi="Gentium"/>
              </w:rPr>
            </w:pPr>
            <w:r>
              <w:rPr>
                <w:rFonts w:ascii="Gentium" w:hAnsi="Gentium"/>
                <w:highlight w:val="none"/>
              </w:rPr>
            </w:r>
            <w:r>
              <w:rPr>
                <w:rFonts w:ascii="Gentium" w:hAnsi="Gentium"/>
              </w:rPr>
            </w:r>
            <w:r>
              <w:rPr>
                <w:rFonts w:ascii="Gentium" w:hAnsi="Gentium"/>
              </w:rPr>
            </w:r>
          </w:p>
          <w:p>
            <w:pPr>
              <w:pStyle w:val="937"/>
              <w:pBdr/>
              <w:spacing/>
              <w:ind/>
              <w:rPr>
                <w:rFonts w:ascii="Gentium" w:hAnsi="Gentium"/>
              </w:rPr>
            </w:pPr>
            <w:r>
              <w:rPr>
                <w:rFonts w:ascii="Gentium" w:hAnsi="Gentium"/>
              </w:rPr>
              <w:t xml:space="preserve">Lectură: </w:t>
            </w:r>
            <w:r>
              <w:rPr>
                <w:rFonts w:ascii="Gentium" w:hAnsi="Gentium"/>
                <w:sz w:val="22"/>
                <w:szCs w:val="22"/>
              </w:rPr>
              <w:t xml:space="preserve">O. Baban, </w:t>
            </w:r>
            <w:r>
              <w:rPr>
                <w:rFonts w:ascii="Gentium" w:hAnsi="Gentium"/>
                <w:i/>
                <w:iCs/>
                <w:sz w:val="22"/>
                <w:szCs w:val="22"/>
              </w:rPr>
              <w:t xml:space="preserve">De la Isus la evanghelii și la Faptele Apostolilor</w:t>
            </w:r>
            <w:r>
              <w:rPr>
                <w:rFonts w:ascii="Gentium" w:hAnsi="Gentium"/>
                <w:sz w:val="22"/>
                <w:szCs w:val="22"/>
              </w:rPr>
              <w:t xml:space="preserve">, Bucureşti: Ed. Universitară, 2009</w:t>
            </w:r>
            <w:r>
              <w:rPr>
                <w:rFonts w:ascii="Gentium" w:hAnsi="Gentium"/>
              </w:rPr>
            </w:r>
            <w:r>
              <w:rPr>
                <w:rFonts w:ascii="Gentium" w:hAnsi="Gentium"/>
              </w:rPr>
            </w:r>
          </w:p>
        </w:tc>
      </w:tr>
    </w:tbl>
    <w:p>
      <w:pPr>
        <w:pStyle w:val="937"/>
        <w:pBdr/>
        <w:spacing/>
        <w:ind/>
        <w:jc w:val="center"/>
        <w:rPr>
          <w:rFonts w:ascii="Gentium" w:hAnsi="Gentium"/>
          <w:sz w:val="12"/>
          <w:szCs w:val="16"/>
        </w:rPr>
      </w:pPr>
      <w:r>
        <w:rPr>
          <w:rFonts w:ascii="Gentium" w:hAnsi="Gentium"/>
          <w:sz w:val="12"/>
          <w:szCs w:val="16"/>
        </w:rPr>
      </w:r>
      <w:r>
        <w:rPr>
          <w:rFonts w:ascii="Gentium" w:hAnsi="Gentium"/>
          <w:sz w:val="12"/>
          <w:szCs w:val="16"/>
        </w:rPr>
      </w:r>
      <w:r>
        <w:rPr>
          <w:rFonts w:ascii="Gentium" w:hAnsi="Gentium"/>
          <w:sz w:val="12"/>
          <w:szCs w:val="16"/>
        </w:rPr>
      </w:r>
    </w:p>
    <w:p>
      <w:pPr>
        <w:pStyle w:val="937"/>
        <w:pBdr/>
        <w:spacing/>
        <w:ind/>
        <w:rPr>
          <w:rFonts w:ascii="Gentium" w:hAnsi="Gentium"/>
        </w:rPr>
      </w:pPr>
      <w:r>
        <w:rPr>
          <w:rFonts w:ascii="Gentium" w:hAnsi="Gentium"/>
          <w:lang w:val="en-US"/>
        </w:rPr>
        <w:t xml:space="preserve">     </w:t>
      </w:r>
      <w:r>
        <w:rPr>
          <w:rFonts w:ascii="Gentium" w:hAnsi="Gentium"/>
        </w:rPr>
        <w:t xml:space="preserve">  </w:t>
      </w:r>
      <w:r>
        <w:rPr>
          <w:rFonts w:ascii="Gentium" w:hAnsi="Gentium"/>
          <w:lang w:val="en-US"/>
        </w:rPr>
        <w:t xml:space="preserve">  </w:t>
      </w:r>
      <w:r>
        <w:rPr>
          <w:rFonts w:ascii="Gentium" w:hAnsi="Gentium"/>
        </w:rPr>
        <w:t xml:space="preserve">Data completării</w:t>
        <w:tab/>
        <w:t xml:space="preserve">                                      </w:t>
        <w:tab/>
        <w:t xml:space="preserve">Semnătura titularului de curs</w:t>
      </w:r>
      <w:r>
        <w:rPr>
          <w:rFonts w:ascii="Gentium" w:hAnsi="Gentium"/>
        </w:rPr>
      </w:r>
      <w:r>
        <w:rPr>
          <w:rFonts w:ascii="Gentium" w:hAnsi="Gentium"/>
        </w:rPr>
      </w:r>
    </w:p>
    <w:p>
      <w:pPr>
        <w:pStyle w:val="937"/>
        <w:pBdr/>
        <w:spacing/>
        <w:ind/>
        <w:rPr>
          <w:rFonts w:ascii="Gentium" w:hAnsi="Gentium"/>
        </w:rPr>
      </w:pPr>
      <w:r>
        <w:rPr>
          <w:rFonts w:ascii="Gentium" w:hAnsi="Gentium"/>
        </w:rPr>
        <w:t xml:space="preserve">                                                                                                 </w:t>
      </w:r>
      <w:r>
        <mc:AlternateContent>
          <mc:Choice Requires="wpg">
            <w:drawing>
              <wp:inline xmlns:wp="http://schemas.openxmlformats.org/drawingml/2006/wordprocessingDrawing" distT="0" distB="0" distL="0" distR="0">
                <wp:extent cx="805815" cy="172085"/>
                <wp:effectExtent l="0" t="0" r="0" b="0"/>
                <wp:docPr id="7" name="Picture 2" descr="D:\on-date-projects\masterat-iunie-24\0-dosar-calitate-ARACIS\anexe-template\semnatura-ob\obsi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D:\on-date-projects\masterat-iunie-24\0-dosar-calitate-ARACIS\anexe-template\semnatura-ob\obsig3.jpg"/>
                        <pic:cNvPicPr>
                          <a:picLocks noChangeAspect="1"/>
                        </pic:cNvPicPr>
                        <pic:nvPr/>
                      </pic:nvPicPr>
                      <pic:blipFill rotWithShape="1">
                        <a:blip r:embed="rId18"/>
                        <a:stretch/>
                      </pic:blipFill>
                      <pic:spPr bwMode="auto">
                        <a:xfrm>
                          <a:off x="0" y="0"/>
                          <a:ext cx="805815" cy="17208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63.45pt;height:13.55pt;mso-wrap-distance-left:0.00pt;mso-wrap-distance-top:0.00pt;mso-wrap-distance-right:0.00pt;mso-wrap-distance-bottom:0.00pt;z-index:1;" stroked="false">
                <v:imagedata r:id="rId18" o:title=""/>
                <o:lock v:ext="edit" rotation="t"/>
              </v:shape>
            </w:pict>
          </mc:Fallback>
        </mc:AlternateContent>
      </w:r>
      <w:r>
        <w:rPr>
          <w:rFonts w:ascii="Gentium" w:hAnsi="Gentium"/>
        </w:rPr>
      </w:r>
      <w:r>
        <w:rPr>
          <w:rFonts w:ascii="Gentium" w:hAnsi="Gentium"/>
        </w:rPr>
      </w:r>
    </w:p>
    <w:p>
      <w:pPr>
        <w:pStyle w:val="937"/>
        <w:pBdr/>
        <w:spacing/>
        <w:ind/>
        <w:rPr>
          <w:rFonts w:ascii="Gentium" w:hAnsi="Gentium"/>
        </w:rPr>
      </w:pPr>
      <w:r>
        <w:rPr>
          <w:rFonts w:ascii="Gentium" w:hAnsi="Gentium"/>
        </w:rPr>
        <w:t xml:space="preserve">         </w:t>
      </w:r>
      <w:r>
        <w:rPr>
          <w:rFonts w:ascii="Gentium" w:hAnsi="Gentium"/>
          <w:lang w:val="en-US"/>
        </w:rPr>
        <w:t xml:space="preserve">15</w:t>
      </w:r>
      <w:r>
        <w:rPr>
          <w:rFonts w:ascii="Gentium" w:hAnsi="Gentium"/>
        </w:rPr>
        <w:t xml:space="preserve">.11.202</w:t>
      </w:r>
      <w:r>
        <w:rPr>
          <w:rFonts w:ascii="Gentium" w:hAnsi="Gentium"/>
          <w:lang w:val="en-US"/>
        </w:rPr>
        <w:t xml:space="preserve">4</w:t>
      </w:r>
      <w:r>
        <w:rPr>
          <w:rFonts w:ascii="Gentium" w:hAnsi="Gentium"/>
        </w:rPr>
        <w:tab/>
        <w:tab/>
        <w:t xml:space="preserve">                                     </w:t>
        <w:tab/>
        <w:tab/>
        <w:t xml:space="preserve"> </w:t>
      </w:r>
      <w:r>
        <w:rPr>
          <w:rFonts w:ascii="Gentium" w:hAnsi="Gentium"/>
          <w:lang w:val="en-US"/>
        </w:rPr>
        <w:t xml:space="preserve">...........</w:t>
      </w:r>
      <w:r>
        <w:rPr>
          <w:rFonts w:ascii="Gentium" w:hAnsi="Gentium"/>
        </w:rPr>
        <w:t xml:space="preserve">.................................................</w:t>
      </w:r>
      <w:r>
        <w:rPr>
          <w:rFonts w:ascii="Gentium" w:hAnsi="Gentium"/>
          <w:lang w:val="en-US"/>
        </w:rPr>
        <w:t xml:space="preserve">......</w:t>
      </w:r>
      <w:r>
        <w:rPr>
          <w:rFonts w:ascii="Gentium" w:hAnsi="Gentium"/>
        </w:rPr>
        <w:tab/>
      </w:r>
      <w:r>
        <w:rPr>
          <w:rFonts w:ascii="Gentium" w:hAnsi="Gentium"/>
        </w:rPr>
      </w:r>
      <w:r>
        <w:rPr>
          <w:rFonts w:ascii="Gentium" w:hAnsi="Gentium"/>
        </w:rPr>
      </w:r>
    </w:p>
    <w:p>
      <w:pPr>
        <w:pStyle w:val="937"/>
        <w:pBdr/>
        <w:spacing/>
        <w:ind/>
        <w:jc w:val="center"/>
        <w:rPr>
          <w:rFonts w:ascii="Gentium" w:hAnsi="Gentium"/>
          <w:sz w:val="12"/>
        </w:rPr>
      </w:pPr>
      <w:r>
        <w:rPr>
          <w:rFonts w:ascii="Gentium" w:hAnsi="Gentium"/>
          <w:sz w:val="12"/>
        </w:rPr>
      </w:r>
      <w:r>
        <w:rPr>
          <w:rFonts w:ascii="Gentium" w:hAnsi="Gentium"/>
          <w:sz w:val="12"/>
        </w:rPr>
      </w:r>
      <w:r>
        <w:rPr>
          <w:rFonts w:ascii="Gentium" w:hAnsi="Gentium"/>
          <w:sz w:val="12"/>
        </w:rPr>
      </w:r>
    </w:p>
    <w:p>
      <w:pPr>
        <w:pStyle w:val="937"/>
        <w:pBdr/>
        <w:spacing/>
        <w:ind/>
        <w:rPr>
          <w:rFonts w:ascii="Gentium" w:hAnsi="Gentium"/>
        </w:rPr>
      </w:pPr>
      <w:r>
        <w:rPr>
          <w:rFonts w:ascii="Gentium" w:hAnsi="Gentium"/>
        </w:rPr>
        <w:tab/>
        <w:t xml:space="preserve">                                                                         </w:t>
        <w:tab/>
        <w:t xml:space="preserve">Semnătura titularului de seminar</w:t>
      </w:r>
      <w:r>
        <w:rPr>
          <w:rFonts w:ascii="Gentium" w:hAnsi="Gentium"/>
        </w:rPr>
      </w:r>
      <w:r>
        <w:rPr>
          <w:rFonts w:ascii="Gentium" w:hAnsi="Gentium"/>
        </w:rPr>
      </w:r>
    </w:p>
    <w:p>
      <w:pPr>
        <w:pStyle w:val="937"/>
        <w:pBdr/>
        <w:spacing/>
        <w:ind/>
        <w:rPr>
          <w:rFonts w:ascii="Gentium" w:hAnsi="Gentium"/>
        </w:rPr>
      </w:pPr>
      <w:r>
        <w:rPr>
          <w:rFonts w:ascii="Gentium" w:hAnsi="Gentium"/>
        </w:rPr>
        <w:t xml:space="preserve">                                                                                                  </w:t>
      </w:r>
      <w:r>
        <mc:AlternateContent>
          <mc:Choice Requires="wpg">
            <w:drawing>
              <wp:inline xmlns:wp="http://schemas.openxmlformats.org/drawingml/2006/wordprocessingDrawing" distT="0" distB="0" distL="0" distR="0">
                <wp:extent cx="805815" cy="172085"/>
                <wp:effectExtent l="0" t="0" r="0" b="0"/>
                <wp:docPr id="8" name="Picture 4" descr="D:\on-date-projects\masterat-iunie-24\0-dosar-calitate-ARACIS\anexe-template\semnatura-ob\obsi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descr="D:\on-date-projects\masterat-iunie-24\0-dosar-calitate-ARACIS\anexe-template\semnatura-ob\obsig3.jpg"/>
                        <pic:cNvPicPr>
                          <a:picLocks noChangeAspect="1"/>
                        </pic:cNvPicPr>
                        <pic:nvPr/>
                      </pic:nvPicPr>
                      <pic:blipFill rotWithShape="1">
                        <a:blip r:embed="rId18"/>
                        <a:stretch/>
                      </pic:blipFill>
                      <pic:spPr bwMode="auto">
                        <a:xfrm>
                          <a:off x="0" y="0"/>
                          <a:ext cx="805815" cy="17208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63.45pt;height:13.55pt;mso-wrap-distance-left:0.00pt;mso-wrap-distance-top:0.00pt;mso-wrap-distance-right:0.00pt;mso-wrap-distance-bottom:0.00pt;z-index:1;" stroked="false">
                <v:imagedata r:id="rId18" o:title=""/>
                <o:lock v:ext="edit" rotation="t"/>
              </v:shape>
            </w:pict>
          </mc:Fallback>
        </mc:AlternateContent>
      </w:r>
      <w:r>
        <w:rPr>
          <w:rFonts w:ascii="Gentium" w:hAnsi="Gentium"/>
        </w:rPr>
      </w:r>
      <w:r>
        <w:rPr>
          <w:rFonts w:ascii="Gentium" w:hAnsi="Gentium"/>
        </w:rPr>
      </w:r>
    </w:p>
    <w:p>
      <w:pPr>
        <w:pStyle w:val="937"/>
        <w:pBdr/>
        <w:spacing/>
        <w:ind/>
        <w:rPr>
          <w:rFonts w:ascii="Gentium" w:hAnsi="Gentium"/>
        </w:rPr>
      </w:pPr>
      <w:r>
        <w:rPr>
          <w:rFonts w:ascii="Gentium" w:hAnsi="Gentium"/>
        </w:rPr>
        <w:t xml:space="preserve">                                                                                  </w:t>
      </w:r>
      <w:r>
        <w:rPr>
          <w:rFonts w:ascii="Gentium" w:hAnsi="Gentium"/>
        </w:rPr>
        <w:tab/>
      </w:r>
      <w:r>
        <w:rPr>
          <w:rFonts w:ascii="Gentium" w:hAnsi="Gentium"/>
          <w:lang w:val="en-US"/>
        </w:rPr>
        <w:t xml:space="preserve">............</w:t>
      </w:r>
      <w:r>
        <w:rPr>
          <w:rFonts w:ascii="Gentium" w:hAnsi="Gentium"/>
        </w:rPr>
        <w:t xml:space="preserve">...................................…………</w:t>
      </w:r>
      <w:r>
        <w:rPr>
          <w:rFonts w:ascii="Gentium" w:hAnsi="Gentium"/>
          <w:lang w:val="en-US"/>
        </w:rPr>
        <w:t xml:space="preserve">……..</w:t>
      </w:r>
      <w:r>
        <w:rPr>
          <w:rFonts w:ascii="Gentium" w:hAnsi="Gentium"/>
        </w:rPr>
        <w:t xml:space="preserve"> </w:t>
      </w:r>
      <w:r>
        <w:rPr>
          <w:rFonts w:ascii="Gentium" w:hAnsi="Gentium"/>
        </w:rPr>
      </w:r>
      <w:r>
        <w:rPr>
          <w:rFonts w:ascii="Gentium" w:hAnsi="Gentium"/>
        </w:rPr>
      </w:r>
    </w:p>
    <w:p>
      <w:pPr>
        <w:pStyle w:val="937"/>
        <w:pBdr/>
        <w:tabs>
          <w:tab w:val="clear" w:leader="none" w:pos="432"/>
          <w:tab w:val="center" w:leader="none" w:pos="4873"/>
        </w:tabs>
        <w:spacing/>
        <w:ind w:firstLine="708"/>
        <w:rPr>
          <w:rFonts w:ascii="Gentium" w:hAnsi="Gentium"/>
          <w:sz w:val="12"/>
        </w:rPr>
      </w:pPr>
      <w:r>
        <w:rPr>
          <w:rFonts w:ascii="Gentium" w:hAnsi="Gentium"/>
        </w:rPr>
        <w:t xml:space="preserve">  </w:t>
      </w:r>
      <w:r>
        <w:rPr>
          <w:rFonts w:ascii="Gentium" w:hAnsi="Gentium"/>
          <w:sz w:val="12"/>
        </w:rPr>
        <w:tab/>
      </w:r>
      <w:r>
        <w:rPr>
          <w:rFonts w:ascii="Gentium" w:hAnsi="Gentium"/>
          <w:sz w:val="12"/>
        </w:rPr>
      </w:r>
      <w:r>
        <w:rPr>
          <w:rFonts w:ascii="Gentium" w:hAnsi="Gentium"/>
          <w:sz w:val="12"/>
        </w:rPr>
      </w:r>
    </w:p>
    <w:p>
      <w:pPr>
        <w:pStyle w:val="937"/>
        <w:pBdr/>
        <w:spacing/>
        <w:ind/>
        <w:rPr>
          <w:rFonts w:ascii="Gentium" w:hAnsi="Gentium"/>
        </w:rPr>
      </w:pPr>
      <w:r>
        <w:rPr>
          <w:rFonts w:ascii="Gentium" w:hAnsi="Gentium"/>
        </w:rPr>
        <w:t xml:space="preserve">        </w:t>
      </w:r>
      <w:r>
        <w:rPr>
          <w:rFonts w:ascii="Gentium" w:hAnsi="Gentium"/>
        </w:rPr>
        <w:t xml:space="preserve">Data avizării în departament</w:t>
        <w:tab/>
        <w:tab/>
        <w:t xml:space="preserve">          Semnătura directorului de departament</w:t>
        <w:tab/>
      </w:r>
      <w:r>
        <w:rPr>
          <w:rFonts w:ascii="Gentium" w:hAnsi="Gentium"/>
        </w:rPr>
      </w:r>
      <w:r>
        <w:rPr>
          <w:rFonts w:ascii="Gentium" w:hAnsi="Gentium"/>
        </w:rPr>
      </w:r>
    </w:p>
    <w:p>
      <w:pPr>
        <w:pStyle w:val="937"/>
        <w:pBdr/>
        <w:spacing/>
        <w:ind/>
        <w:rPr>
          <w:rFonts w:ascii="Gentium" w:hAnsi="Gentium"/>
          <w:highlight w:val="none"/>
        </w:rPr>
      </w:pPr>
      <w:r>
        <w:rPr>
          <w:rFonts w:ascii="Gentium" w:hAnsi="Gentium"/>
        </w:rPr>
      </w:r>
      <w:r>
        <w:rPr>
          <w:rFonts w:ascii="Gentium" w:hAnsi="Gentium"/>
          <w:highlight w:val="none"/>
        </w:rPr>
      </w:r>
      <w:r>
        <w:rPr>
          <w:rFonts w:ascii="Gentium" w:hAnsi="Gentium"/>
          <w:highlight w:val="none"/>
        </w:rPr>
      </w:r>
    </w:p>
    <w:p>
      <w:pPr>
        <w:pStyle w:val="937"/>
        <w:pBdr/>
        <w:spacing/>
        <w:ind/>
        <w:rPr>
          <w:rFonts w:ascii="Gentium" w:hAnsi="Gentium"/>
          <w:highlight w:val="none"/>
        </w:rPr>
      </w:pPr>
      <w:r>
        <w:rPr>
          <w:rFonts w:ascii="Gentium" w:hAnsi="Gentium"/>
          <w:lang w:val="en-US"/>
        </w:rPr>
        <w:t xml:space="preserve">         </w:t>
      </w:r>
      <w:r>
        <w:rPr>
          <w:rFonts w:ascii="Gentium" w:hAnsi="Gentium"/>
        </w:rPr>
        <w:tab/>
        <w:tab/>
        <w:tab/>
        <w:tab/>
        <w:tab/>
        <w:tab/>
        <w:t xml:space="preserve">                              </w:t>
      </w:r>
      <w:r>
        <mc:AlternateContent>
          <mc:Choice Requires="wpg">
            <w:drawing>
              <wp:inline xmlns:wp="http://schemas.openxmlformats.org/drawingml/2006/wordprocessingDrawing" distT="0" distB="0" distL="0" distR="0">
                <wp:extent cx="805815" cy="172085"/>
                <wp:effectExtent l="0" t="0" r="0" b="0"/>
                <wp:docPr id="9" name="Picture 1" descr="D:\on-date-projects\masterat-iunie-24\0-dosar-calitate-ARACIS\anexe-template\semnatura-ob\obsi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D:\on-date-projects\masterat-iunie-24\0-dosar-calitate-ARACIS\anexe-template\semnatura-ob\obsig3.jpg"/>
                        <pic:cNvPicPr>
                          <a:picLocks noChangeAspect="1"/>
                        </pic:cNvPicPr>
                        <pic:nvPr/>
                      </pic:nvPicPr>
                      <pic:blipFill rotWithShape="1">
                        <a:blip r:embed="rId18"/>
                        <a:stretch/>
                      </pic:blipFill>
                      <pic:spPr bwMode="auto">
                        <a:xfrm>
                          <a:off x="0" y="0"/>
                          <a:ext cx="805815" cy="17208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63.45pt;height:13.55pt;mso-wrap-distance-left:0.00pt;mso-wrap-distance-top:0.00pt;mso-wrap-distance-right:0.00pt;mso-wrap-distance-bottom:0.00pt;z-index:1;" stroked="false">
                <v:imagedata r:id="rId18" o:title=""/>
                <o:lock v:ext="edit" rotation="t"/>
              </v:shape>
            </w:pict>
          </mc:Fallback>
        </mc:AlternateContent>
      </w:r>
      <w:r>
        <w:rPr>
          <w:rFonts w:ascii="Gentium" w:hAnsi="Gentium"/>
        </w:rPr>
        <w:tab/>
      </w:r>
      <w:r>
        <w:rPr>
          <w:rFonts w:ascii="Gentium" w:hAnsi="Gentium"/>
          <w:highlight w:val="none"/>
        </w:rPr>
      </w:r>
      <w:r>
        <w:rPr>
          <w:rFonts w:ascii="Gentium" w:hAnsi="Gentium"/>
          <w:highlight w:val="none"/>
        </w:rPr>
      </w:r>
    </w:p>
    <w:p>
      <w:pPr>
        <w:pStyle w:val="937"/>
        <w:pBdr/>
        <w:spacing/>
        <w:ind/>
        <w:rPr>
          <w14:ligatures w14:val="none"/>
        </w:rPr>
      </w:pPr>
      <w:r>
        <w:rPr>
          <w14:ligatures w14:val="none"/>
        </w:rPr>
      </w:r>
      <w:r>
        <w:rPr>
          <w14:ligatures w14:val="none"/>
        </w:rPr>
      </w:r>
      <w:r>
        <w:rPr>
          <w14:ligatures w14:val="none"/>
        </w:rPr>
      </w:r>
    </w:p>
    <w:p>
      <w:pPr>
        <w:pStyle w:val="939"/>
        <w:pBdr/>
        <w:spacing/>
        <w:ind/>
        <w:jc w:val="both"/>
        <w:rPr>
          <w:rFonts w:ascii="Gentium" w:hAnsi="Gentium" w:cs="Gentium"/>
        </w:rPr>
      </w:pPr>
      <w:r>
        <w:rPr>
          <w:rFonts w:eastAsia="Gentium" w:cs="Gentium"/>
        </w:rPr>
        <w:t xml:space="preserve">Bibliografie</w:t>
      </w:r>
      <w:bookmarkStart w:id="0" w:name="_Toc414386043"/>
      <w:r/>
      <w:bookmarkEnd w:id="0"/>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The standard, and most comprehensive, treatment is that of Mitchell, Young, and Bowie, eds.,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t xml:space="preserve">Lössl offers a shorter introduction that is useful as an initial orientation. Green treats Christianity in Rome in the first three centuries, but is a useful entry point for a study of the formation of orthodox Christianity. </w:t>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t xml:space="preserve">Bingham, ed. treats the development of Christianity as a history of ideas, an approach that might appeal to some but which sits awkward with newer emphases on the rhetoricality and discursivity of history. </w:t>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t xml:space="preserve">The two works by Frend are still regarded as classical even though traditional church histories of the formation of Christianity.  </w:t>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rPr>
      </w:pPr>
      <w:r>
        <w:rPr>
          <w:rFonts w:ascii="Gentium" w:hAnsi="Gentium" w:eastAsia="Gentium" w:cs="Gentium"/>
          <w:sz w:val="24"/>
        </w:rPr>
        <w:t xml:space="preserve">Mitchell, Margaret Mary, Frances M. Young, and K. Scott Bowie, eds. </w:t>
      </w:r>
      <w:r>
        <w:rPr>
          <w:rFonts w:ascii="Gentium" w:hAnsi="Gentium" w:eastAsia="Gentium" w:cs="Gentium"/>
          <w:i/>
          <w:iCs/>
          <w:sz w:val="24"/>
        </w:rPr>
        <w:t xml:space="preserve">Origins to Constantine</w:t>
      </w:r>
      <w:r>
        <w:rPr>
          <w:rFonts w:ascii="Gentium" w:hAnsi="Gentium" w:eastAsia="Gentium" w:cs="Gentium"/>
          <w:sz w:val="24"/>
        </w:rPr>
        <w:t xml:space="preserve">. Cambridge History of Christianity v. 1. Cambridge ; New York, N.Y.: Cambridge University Press, 2006.</w:t>
      </w:r>
      <w:r>
        <w:rPr>
          <w:rFonts w:ascii="Gentium" w:hAnsi="Gentium" w:cs="Gentium"/>
          <w:sz w:val="24"/>
        </w:rPr>
      </w:r>
      <w:r>
        <w:rPr>
          <w:rFonts w:ascii="Gentium" w:hAnsi="Gentium" w:cs="Gentium"/>
          <w:sz w:val="24"/>
        </w:rPr>
      </w:r>
    </w:p>
    <w:p>
      <w:pPr>
        <w:pStyle w:val="1017"/>
        <w:pBdr/>
        <w:spacing/>
        <w:ind w:right="0" w:hanging="11" w:left="720"/>
        <w:jc w:val="both"/>
        <w:rPr>
          <w:rFonts w:ascii="Gentium" w:hAnsi="Gentium" w:cs="Gentium"/>
          <w:sz w:val="24"/>
        </w:rPr>
      </w:pPr>
      <w:r>
        <w:rPr>
          <w:rFonts w:ascii="Gentium" w:hAnsi="Gentium" w:eastAsia="Gentium" w:cs="Gentium"/>
          <w:sz w:val="24"/>
        </w:rPr>
        <w:t xml:space="preserve">A comprehensive introduction to early Christianity, from the historical figure of Jesus of Nazareth through various trajectories, the various early</w:t>
      </w:r>
      <w:r>
        <w:rPr>
          <w:rFonts w:ascii="Gentium" w:hAnsi="Gentium" w:eastAsia="Gentium" w:cs="Gentium"/>
          <w:sz w:val="24"/>
        </w:rPr>
        <w:t xml:space="preserve"> divisions (the apostolic era) and then in the later regional varieties of Christianities. The complex process of Christian identity making into an imperial Christian culture is set in relation to its material conditions, location and institutionalization.</w:t>
      </w:r>
      <w:r>
        <w:rPr>
          <w:rFonts w:ascii="Gentium" w:hAnsi="Gentium" w:cs="Gentium"/>
          <w:sz w:val="24"/>
        </w:rPr>
      </w:r>
      <w:r>
        <w:rPr>
          <w:rFonts w:ascii="Gentium" w:hAnsi="Gentium" w:cs="Gentium"/>
          <w:sz w:val="24"/>
        </w:rPr>
      </w:r>
    </w:p>
    <w:p>
      <w:pPr>
        <w:pStyle w:val="1017"/>
        <w:pBdr/>
        <w:spacing/>
        <w:ind/>
        <w:jc w:val="both"/>
        <w:rPr>
          <w:rFonts w:ascii="Gentium" w:hAnsi="Gentium" w:cs="Gentium"/>
          <w:sz w:val="24"/>
        </w:rPr>
      </w:pPr>
      <w:r>
        <w:rPr>
          <w:rFonts w:ascii="Gentium" w:hAnsi="Gentium" w:cs="Gentium"/>
          <w:sz w:val="24"/>
        </w:rPr>
      </w:r>
      <w:r>
        <w:rPr>
          <w:rFonts w:ascii="Gentium" w:hAnsi="Gentium" w:cs="Gentium"/>
          <w:sz w:val="24"/>
        </w:rPr>
      </w:r>
      <w:r>
        <w:rPr>
          <w:rFonts w:ascii="Gentium" w:hAnsi="Gentium" w:cs="Gentium"/>
          <w:sz w:val="24"/>
        </w:rPr>
      </w:r>
    </w:p>
    <w:p>
      <w:pPr>
        <w:pStyle w:val="1017"/>
        <w:pBdr/>
        <w:spacing/>
        <w:ind/>
        <w:jc w:val="both"/>
        <w:rPr>
          <w:rFonts w:ascii="Gentium" w:hAnsi="Gentium" w:cs="Gentium"/>
          <w:sz w:val="24"/>
        </w:rPr>
      </w:pPr>
      <w:r>
        <w:rPr>
          <w:rFonts w:ascii="Gentium" w:hAnsi="Gentium" w:eastAsia="Gentium" w:cs="Gentium"/>
          <w:sz w:val="24"/>
        </w:rPr>
        <w:t xml:space="preserve">Lössl, Josef. </w:t>
      </w:r>
      <w:r>
        <w:rPr>
          <w:rFonts w:ascii="Gentium" w:hAnsi="Gentium" w:eastAsia="Gentium" w:cs="Gentium"/>
          <w:i/>
          <w:iCs/>
          <w:sz w:val="24"/>
        </w:rPr>
        <w:t xml:space="preserve">The Early Church: History and Memory</w:t>
      </w:r>
      <w:r>
        <w:rPr>
          <w:rFonts w:ascii="Gentium" w:hAnsi="Gentium" w:eastAsia="Gentium" w:cs="Gentium"/>
          <w:sz w:val="24"/>
        </w:rPr>
        <w:t xml:space="preserve">. London; New York, N.Y.: T &amp; T Clark, 2010.</w:t>
      </w:r>
      <w:r>
        <w:rPr>
          <w:rFonts w:ascii="Gentium" w:hAnsi="Gentium" w:cs="Gentium"/>
          <w:sz w:val="24"/>
        </w:rPr>
      </w:r>
      <w:r>
        <w:rPr>
          <w:rFonts w:ascii="Gentium" w:hAnsi="Gentium" w:cs="Gentium"/>
          <w:sz w:val="24"/>
        </w:rPr>
      </w:r>
    </w:p>
    <w:p>
      <w:pPr>
        <w:pStyle w:val="937"/>
        <w:pBdr/>
        <w:spacing w:line="240" w:lineRule="auto"/>
        <w:ind w:left="709"/>
        <w:jc w:val="both"/>
        <w:rPr>
          <w:rFonts w:ascii="Gentium" w:hAnsi="Gentium" w:cs="Gentium"/>
          <w:sz w:val="24"/>
          <w:szCs w:val="24"/>
        </w:rPr>
      </w:pPr>
      <w:r>
        <w:rPr>
          <w:rFonts w:ascii="Gentium" w:hAnsi="Gentium" w:eastAsia="Gentium" w:cs="Gentium"/>
          <w:sz w:val="24"/>
          <w:szCs w:val="24"/>
        </w:rPr>
        <w:t xml:space="preserve">A history of early Christianity from a religious studies perspective, with focuses on theory and definition, framing early Christian history as cultu</w:t>
      </w:r>
      <w:r>
        <w:rPr>
          <w:rFonts w:ascii="Gentium" w:hAnsi="Gentium" w:eastAsia="Gentium" w:cs="Gentium"/>
          <w:sz w:val="24"/>
          <w:szCs w:val="24"/>
        </w:rPr>
        <w:t xml:space="preserve">re and memory making, as well as dealing with the reception history of early Christianity in contemporary cultural production. Lössl covers the diversity of trajectories that made up early Christianity as well as the way Christian identities were produced.</w:t>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eastAsia="Gentium" w:cs="Gentium"/>
          <w:sz w:val="24"/>
          <w:szCs w:val="24"/>
          <w:highlight w:val="none"/>
        </w:rPr>
      </w:pPr>
      <w:r>
        <w:rPr>
          <w:rFonts w:ascii="Gentium" w:hAnsi="Gentium" w:eastAsia="Gentium" w:cs="Gentium"/>
          <w:sz w:val="24"/>
        </w:rPr>
        <w:t xml:space="preserve">Green, Bernard. </w:t>
      </w:r>
      <w:r>
        <w:rPr>
          <w:rFonts w:ascii="Gentium" w:hAnsi="Gentium" w:eastAsia="Gentium" w:cs="Gentium"/>
          <w:i/>
          <w:iCs/>
          <w:sz w:val="24"/>
        </w:rPr>
        <w:t xml:space="preserve">Christianity in Ancient Rome: The First Three Centuries</w:t>
      </w:r>
      <w:r>
        <w:rPr>
          <w:rFonts w:ascii="Gentium" w:hAnsi="Gentium" w:eastAsia="Gentium" w:cs="Gentium"/>
          <w:sz w:val="24"/>
        </w:rPr>
        <w:t xml:space="preserve">. London; New York, N.Y.: T &amp; T Clark, 2010.</w:t>
      </w:r>
      <w:r>
        <w:rPr>
          <w:rFonts w:ascii="Gentium" w:hAnsi="Gentium" w:eastAsia="Gentium" w:cs="Gentium"/>
          <w:sz w:val="24"/>
          <w:szCs w:val="24"/>
          <w:highlight w:val="none"/>
        </w:rPr>
      </w:r>
      <w:r>
        <w:rPr>
          <w:rFonts w:ascii="Gentium" w:hAnsi="Gentium" w:eastAsia="Gentium" w:cs="Gentium"/>
          <w:sz w:val="24"/>
          <w:szCs w:val="24"/>
          <w:highlight w:val="none"/>
        </w:rPr>
      </w:r>
    </w:p>
    <w:p>
      <w:pPr>
        <w:pStyle w:val="937"/>
        <w:pBdr/>
        <w:spacing w:line="240" w:lineRule="auto"/>
        <w:ind w:left="709"/>
        <w:jc w:val="both"/>
        <w:rPr>
          <w:rFonts w:ascii="Gentium" w:hAnsi="Gentium" w:cs="Gentium"/>
          <w:sz w:val="24"/>
          <w:szCs w:val="24"/>
        </w:rPr>
      </w:pPr>
      <w:r>
        <w:rPr>
          <w:rFonts w:ascii="Gentium" w:hAnsi="Gentium" w:eastAsia="Gentium" w:cs="Gentium"/>
          <w:sz w:val="24"/>
          <w:szCs w:val="24"/>
        </w:rPr>
        <w:t xml:space="preserve">Surveys the growth of Christianity in Rome from Jewish sect to predominantly Gentile Christian community, the development of authority structures such as the</w:t>
      </w:r>
      <w:r>
        <w:rPr>
          <w:rFonts w:ascii="Gentium" w:hAnsi="Gentium" w:eastAsia="Gentium" w:cs="Gentium"/>
          <w:sz w:val="24"/>
          <w:szCs w:val="24"/>
        </w:rPr>
        <w:t xml:space="preserve"> papacy, schisms and diversity, gradual predominance of Rome, and the eventual patronage of Constantine in the making of a Christian empire. Highlights how various trajectories of Christian formation intersected in the course of the first three centuries. </w:t>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eastAsia="Gentium" w:cs="Gentium"/>
          <w:sz w:val="24"/>
          <w:szCs w:val="24"/>
          <w:highlight w:val="none"/>
        </w:rPr>
      </w:pPr>
      <w:r>
        <w:rPr>
          <w:rFonts w:ascii="Gentium" w:hAnsi="Gentium" w:eastAsia="Gentium" w:cs="Gentium"/>
          <w:sz w:val="24"/>
        </w:rPr>
        <w:t xml:space="preserve">Bingham, D. Jeffrey, ed. </w:t>
      </w:r>
      <w:r>
        <w:rPr>
          <w:rFonts w:ascii="Gentium" w:hAnsi="Gentium" w:eastAsia="Gentium" w:cs="Gentium"/>
          <w:i/>
          <w:iCs/>
          <w:sz w:val="24"/>
        </w:rPr>
        <w:t xml:space="preserve">The Routledge Companion to Early Christian Thought</w:t>
      </w:r>
      <w:r>
        <w:rPr>
          <w:rFonts w:ascii="Gentium" w:hAnsi="Gentium" w:eastAsia="Gentium" w:cs="Gentium"/>
          <w:sz w:val="24"/>
        </w:rPr>
        <w:t xml:space="preserve">. Abingdon; New York, N.Y.: Routledge, 2010.</w:t>
      </w:r>
      <w:r>
        <w:rPr>
          <w:rFonts w:ascii="Gentium" w:hAnsi="Gentium" w:eastAsia="Gentium" w:cs="Gentium"/>
          <w:sz w:val="24"/>
          <w:szCs w:val="24"/>
          <w:highlight w:val="none"/>
        </w:rPr>
      </w:r>
      <w:r>
        <w:rPr>
          <w:rFonts w:ascii="Gentium" w:hAnsi="Gentium" w:eastAsia="Gentium" w:cs="Gentium"/>
          <w:sz w:val="24"/>
          <w:szCs w:val="24"/>
          <w:highlight w:val="none"/>
        </w:rPr>
      </w:r>
    </w:p>
    <w:p>
      <w:pPr>
        <w:pStyle w:val="1017"/>
        <w:pBdr/>
        <w:spacing/>
        <w:ind w:right="0" w:firstLine="0" w:left="720"/>
        <w:jc w:val="both"/>
        <w:rPr>
          <w:rFonts w:ascii="Gentium" w:hAnsi="Gentium" w:eastAsia="Gentium" w:cs="Gentium"/>
          <w:sz w:val="24"/>
          <w:szCs w:val="24"/>
          <w:highlight w:val="none"/>
        </w:rPr>
      </w:pPr>
      <w:r>
        <w:rPr>
          <w:rFonts w:ascii="Gentium" w:hAnsi="Gentium" w:eastAsia="Gentium" w:cs="Gentium"/>
          <w:sz w:val="24"/>
          <w:szCs w:val="24"/>
        </w:rPr>
        <w:t xml:space="preserve">This volume is strong on the interaction between nascent Christian tradition and its contemporary context. It treats Christianity an</w:t>
      </w:r>
      <w:r>
        <w:rPr>
          <w:rFonts w:ascii="Gentium" w:hAnsi="Gentium" w:eastAsia="Gentium" w:cs="Gentium"/>
          <w:sz w:val="24"/>
          <w:szCs w:val="24"/>
        </w:rPr>
        <w:t xml:space="preserve">d its “other” through the lens of the literary traditions, but this is also its strong point in that it provides extensive introduction to the literature and ancient authors, with comprehensive references to ancient authors and modern scholarship on these.</w:t>
      </w:r>
      <w:r>
        <w:rPr>
          <w:rFonts w:ascii="Gentium" w:hAnsi="Gentium" w:eastAsia="Gentium" w:cs="Gentium"/>
          <w:sz w:val="24"/>
          <w:szCs w:val="24"/>
          <w:highlight w:val="none"/>
        </w:rPr>
      </w:r>
      <w:r>
        <w:rPr>
          <w:rFonts w:ascii="Gentium" w:hAnsi="Gentium" w:eastAsia="Gentium" w:cs="Gentium"/>
          <w:sz w:val="24"/>
          <w:szCs w:val="24"/>
          <w:highlight w:val="none"/>
        </w:rPr>
      </w:r>
    </w:p>
    <w:p>
      <w:pPr>
        <w:pStyle w:val="1017"/>
        <w:pBdr/>
        <w:spacing/>
        <w:ind w:right="0" w:firstLine="0" w:left="720"/>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rPr>
      </w:pPr>
      <w:r>
        <w:rPr>
          <w:rFonts w:ascii="Gentium" w:hAnsi="Gentium" w:eastAsia="Gentium" w:cs="Gentium"/>
          <w:sz w:val="24"/>
        </w:rPr>
        <w:t xml:space="preserve">Frend, W. H. C. </w:t>
      </w:r>
      <w:r>
        <w:rPr>
          <w:rFonts w:ascii="Gentium" w:hAnsi="Gentium" w:eastAsia="Gentium" w:cs="Gentium"/>
          <w:i/>
          <w:iCs/>
          <w:sz w:val="24"/>
        </w:rPr>
        <w:t xml:space="preserve">The Early Church</w:t>
      </w:r>
      <w:r>
        <w:rPr>
          <w:rFonts w:ascii="Gentium" w:hAnsi="Gentium" w:eastAsia="Gentium" w:cs="Gentium"/>
          <w:sz w:val="24"/>
        </w:rPr>
        <w:t xml:space="preserve">. Minneapolis, Minn.: Fortress Press, 1982 [1965].</w:t>
      </w:r>
      <w:r>
        <w:rPr>
          <w:rFonts w:ascii="Gentium" w:hAnsi="Gentium" w:cs="Gentium"/>
          <w:sz w:val="24"/>
        </w:rPr>
      </w:r>
      <w:r>
        <w:rPr>
          <w:rFonts w:ascii="Gentium" w:hAnsi="Gentium" w:cs="Gentium"/>
          <w:sz w:val="24"/>
        </w:rPr>
      </w:r>
    </w:p>
    <w:p>
      <w:pPr>
        <w:pStyle w:val="937"/>
        <w:pBdr/>
        <w:spacing w:after="0" w:before="0" w:line="240" w:lineRule="auto"/>
        <w:ind w:left="709"/>
        <w:jc w:val="both"/>
        <w:rPr>
          <w:rFonts w:ascii="Gentium" w:hAnsi="Gentium" w:eastAsia="Gentium" w:cs="Gentium"/>
          <w:sz w:val="24"/>
          <w:szCs w:val="24"/>
          <w:highlight w:val="none"/>
        </w:rPr>
      </w:pPr>
      <w:r>
        <w:rPr>
          <w:rFonts w:ascii="Gentium" w:hAnsi="Gentium" w:eastAsia="Gentium" w:cs="Gentium"/>
          <w:sz w:val="24"/>
        </w:rPr>
        <w:t xml:space="preserve">The history of the Roman Empire forms the framework for the history of Christianity. Part one covers early Judaism, and then follows early Christianity from the apostolic period through the main second century schis</w:t>
      </w:r>
      <w:r>
        <w:rPr>
          <w:rFonts w:ascii="Gentium" w:hAnsi="Gentium" w:eastAsia="Gentium" w:cs="Gentium"/>
          <w:sz w:val="24"/>
        </w:rPr>
        <w:t xml:space="preserve">ms and main Christian centers to the great persecutions, leading up to Nicaea. Part two covers the Constantinian revolution and the Christianization of the Empire up to the Council of Chalcedon, with some emphasis on main figures like Origen and Augustine.</w:t>
      </w:r>
      <w:r>
        <w:rPr>
          <w:rFonts w:ascii="Gentium" w:hAnsi="Gentium" w:eastAsia="Gentium" w:cs="Gentium"/>
          <w:sz w:val="24"/>
          <w:szCs w:val="24"/>
          <w:highlight w:val="none"/>
        </w:rPr>
      </w:r>
      <w:r>
        <w:rPr>
          <w:rFonts w:ascii="Gentium" w:hAnsi="Gentium" w:eastAsia="Gentium" w:cs="Gentium"/>
          <w:sz w:val="24"/>
          <w:szCs w:val="24"/>
          <w:highlight w:val="none"/>
        </w:rPr>
      </w:r>
    </w:p>
    <w:p>
      <w:pPr>
        <w:pStyle w:val="937"/>
        <w:pBdr/>
        <w:spacing w:after="0" w:before="0" w:line="240" w:lineRule="auto"/>
        <w:ind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rPr>
      </w:pPr>
      <w:r>
        <w:rPr>
          <w:rFonts w:ascii="Gentium" w:hAnsi="Gentium" w:cs="Gentium"/>
          <w:sz w:val="24"/>
        </w:rPr>
      </w:r>
      <w:r>
        <w:rPr>
          <w:rFonts w:ascii="Gentium" w:hAnsi="Gentium" w:cs="Gentium"/>
          <w:sz w:val="24"/>
        </w:rPr>
      </w:r>
      <w:r>
        <w:rPr>
          <w:rFonts w:ascii="Gentium" w:hAnsi="Gentium" w:cs="Gentium"/>
          <w:sz w:val="24"/>
        </w:rPr>
      </w:r>
    </w:p>
    <w:p>
      <w:pPr>
        <w:pStyle w:val="937"/>
        <w:pBdr/>
        <w:spacing w:after="0" w:before="0" w:line="240" w:lineRule="auto"/>
        <w:ind/>
        <w:jc w:val="both"/>
        <w:rPr>
          <w:rFonts w:ascii="Gentium" w:hAnsi="Gentium" w:cs="Gentium"/>
          <w:sz w:val="24"/>
        </w:rPr>
      </w:pPr>
      <w:r>
        <w:rPr>
          <w:rFonts w:ascii="Gentium" w:hAnsi="Gentium" w:eastAsia="Gentium" w:cs="Gentium"/>
          <w:sz w:val="24"/>
        </w:rPr>
        <w:t xml:space="preserve">Frend, W. H. C. </w:t>
      </w:r>
      <w:r>
        <w:rPr>
          <w:rFonts w:ascii="Gentium" w:hAnsi="Gentium" w:eastAsia="Gentium" w:cs="Gentium"/>
          <w:i/>
          <w:iCs/>
          <w:sz w:val="24"/>
        </w:rPr>
        <w:t xml:space="preserve">The Rise of Christianity</w:t>
      </w:r>
      <w:r>
        <w:rPr>
          <w:rFonts w:ascii="Gentium" w:hAnsi="Gentium" w:eastAsia="Gentium" w:cs="Gentium"/>
          <w:sz w:val="24"/>
        </w:rPr>
        <w:t xml:space="preserve">. Philadelphia, Pa.: Fortress Press, 1984.</w:t>
      </w:r>
      <w:r>
        <w:rPr>
          <w:rFonts w:ascii="Gentium" w:hAnsi="Gentium" w:cs="Gentium"/>
          <w:sz w:val="24"/>
        </w:rPr>
      </w:r>
      <w:r>
        <w:rPr>
          <w:rFonts w:ascii="Gentium" w:hAnsi="Gentium" w:cs="Gentium"/>
          <w:sz w:val="24"/>
        </w:rPr>
      </w:r>
    </w:p>
    <w:p>
      <w:pPr>
        <w:pStyle w:val="1017"/>
        <w:pBdr/>
        <w:spacing/>
        <w:ind w:right="0" w:firstLine="0" w:left="720"/>
        <w:jc w:val="both"/>
        <w:rPr>
          <w:rFonts w:ascii="Gentium" w:hAnsi="Gentium" w:cs="Gentium"/>
          <w:sz w:val="24"/>
        </w:rPr>
      </w:pPr>
      <w:r>
        <w:rPr>
          <w:rFonts w:ascii="Gentium" w:hAnsi="Gentium" w:eastAsia="Gentium" w:cs="Gentium"/>
          <w:sz w:val="24"/>
        </w:rPr>
        <w:t xml:space="preserve">In a broad sweep Frend interprets the history of Christianity from its Jewish matrix through the earliest figures through to the emergence of two distinct Christi</w:t>
      </w:r>
      <w:r>
        <w:rPr>
          <w:rFonts w:ascii="Gentium" w:hAnsi="Gentium" w:eastAsia="Gentium" w:cs="Gentium"/>
          <w:sz w:val="24"/>
        </w:rPr>
        <w:t xml:space="preserve">anities, Greek-speaking Eastern and Latin-speaking Western up to Pope Gregory I in the seventh century C.E. The formation of Christian organizations, internal diversity and relations to the Roman Empire including the Constantinian revolution get attention.</w:t>
      </w:r>
      <w:r>
        <w:rPr>
          <w:rFonts w:ascii="Gentium" w:hAnsi="Gentium" w:cs="Gentium"/>
          <w:sz w:val="24"/>
        </w:rPr>
      </w:r>
      <w:r>
        <w:rPr>
          <w:rFonts w:ascii="Gentium" w:hAnsi="Gentium" w:cs="Gentium"/>
          <w:sz w:val="24"/>
        </w:rPr>
      </w:r>
    </w:p>
    <w:p>
      <w:pPr>
        <w:pStyle w:val="1017"/>
        <w:pBdr/>
        <w:spacing/>
        <w:ind/>
        <w:jc w:val="both"/>
        <w:rPr>
          <w:rFonts w:ascii="Gentium" w:hAnsi="Gentium" w:cs="Gentium"/>
          <w:sz w:val="24"/>
        </w:rPr>
      </w:pPr>
      <w:r>
        <w:rPr>
          <w:rFonts w:ascii="Gentium" w:hAnsi="Gentium" w:cs="Gentium"/>
          <w:sz w:val="24"/>
        </w:rPr>
      </w:r>
      <w:r>
        <w:rPr>
          <w:rFonts w:ascii="Gentium" w:hAnsi="Gentium" w:cs="Gentium"/>
          <w:sz w:val="24"/>
        </w:rPr>
      </w:r>
      <w:r>
        <w:rPr>
          <w:rFonts w:ascii="Gentium" w:hAnsi="Gentium" w:cs="Gentium"/>
          <w:sz w:val="24"/>
        </w:rPr>
      </w:r>
    </w:p>
    <w:p>
      <w:pPr>
        <w:pStyle w:val="941"/>
        <w:pBdr/>
        <w:spacing/>
        <w:ind/>
        <w:rPr>
          <w:rFonts w:ascii="Gentium" w:hAnsi="Gentium" w:cs="Gentium"/>
        </w:rPr>
      </w:pPr>
      <w:r/>
      <w:bookmarkStart w:id="1" w:name="_Toc414386044"/>
      <w:r>
        <w:rPr>
          <w:rFonts w:ascii="Gentium" w:hAnsi="Gentium" w:eastAsia="Gentium" w:cs="Gentium"/>
        </w:rPr>
        <w:t xml:space="preserve">Foreign language overviews</w:t>
      </w:r>
      <w:bookmarkEnd w:id="1"/>
      <w:r>
        <w:rPr>
          <w:rFonts w:ascii="Gentium" w:hAnsi="Gentium" w:cs="Gentium"/>
        </w:rPr>
      </w:r>
      <w:r>
        <w:rPr>
          <w:rFonts w:ascii="Gentium" w:hAnsi="Gentium" w:cs="Gentium"/>
        </w:rPr>
      </w:r>
    </w:p>
    <w:p>
      <w:pPr>
        <w:pStyle w:val="937"/>
        <w:pBdr/>
        <w:spacing w:after="0" w:before="0" w:line="240" w:lineRule="auto"/>
        <w:ind/>
        <w:jc w:val="both"/>
        <w:rPr>
          <w:rFonts w:ascii="Gentium" w:hAnsi="Gentium" w:cs="Gentium"/>
          <w:sz w:val="24"/>
        </w:rPr>
      </w:pPr>
      <w:r>
        <w:rPr>
          <w:rFonts w:ascii="Gentium" w:hAnsi="Gentium" w:cs="Gentium"/>
          <w:sz w:val="24"/>
        </w:rPr>
      </w:r>
      <w:r>
        <w:rPr>
          <w:rFonts w:ascii="Gentium" w:hAnsi="Gentium" w:cs="Gentium"/>
          <w:sz w:val="24"/>
        </w:rPr>
      </w:r>
      <w:r>
        <w:rPr>
          <w:rFonts w:ascii="Gentium" w:hAnsi="Gentium" w:cs="Gentium"/>
          <w:sz w:val="24"/>
        </w:rPr>
      </w:r>
    </w:p>
    <w:p>
      <w:pPr>
        <w:pStyle w:val="937"/>
        <w:pBdr/>
        <w:spacing w:after="0" w:before="0" w:line="240" w:lineRule="auto"/>
        <w:ind/>
        <w:jc w:val="both"/>
        <w:rPr>
          <w:rFonts w:ascii="Gentium" w:hAnsi="Gentium" w:cs="Gentium"/>
          <w:sz w:val="24"/>
        </w:rPr>
      </w:pPr>
      <w:r>
        <w:rPr>
          <w:rFonts w:ascii="Gentium" w:hAnsi="Gentium" w:eastAsia="Gentium" w:cs="Gentium"/>
          <w:sz w:val="24"/>
        </w:rPr>
        <w:t xml:space="preserve">The volumes by Fischer, Tröger, Haendler, and Winkelmann in the German series K</w:t>
      </w:r>
      <w:r>
        <w:rPr>
          <w:rFonts w:ascii="Gentium" w:hAnsi="Gentium" w:eastAsia="Gentium" w:cs="Gentium"/>
          <w:sz w:val="24"/>
        </w:rPr>
        <w:t xml:space="preserve">irchengeschichte in Einzeldarstellungen (some volumes are out of print) are more traditional histories of early Christianity, but taken together, very comprehensive in their treatment of the history of Christianity in the formative centuries (although the </w:t>
      </w:r>
      <w:r>
        <w:rPr>
          <w:rFonts w:ascii="Gentium" w:hAnsi="Gentium" w:eastAsia="Gentium" w:cs="Gentium"/>
          <w:sz w:val="24"/>
        </w:rPr>
        <w:t xml:space="preserve">literature lists are somewhat dated). A very recent introduction to early Christian history is the work of Koch (in German as well) which focuses on the religious and political context of early Christianity from the Jesus movement to the sub-apostolic era.</w:t>
      </w:r>
      <w:r>
        <w:rPr>
          <w:rFonts w:ascii="Gentium" w:hAnsi="Gentium" w:cs="Gentium"/>
          <w:sz w:val="24"/>
        </w:rPr>
      </w:r>
      <w:r>
        <w:rPr>
          <w:rFonts w:ascii="Gentium" w:hAnsi="Gentium" w:cs="Gentium"/>
          <w:sz w:val="24"/>
        </w:rPr>
      </w:r>
    </w:p>
    <w:p>
      <w:pPr>
        <w:pStyle w:val="937"/>
        <w:pBdr/>
        <w:spacing w:after="0" w:before="0" w:line="240" w:lineRule="auto"/>
        <w:ind/>
        <w:jc w:val="both"/>
        <w:rPr>
          <w:rFonts w:ascii="Gentium" w:hAnsi="Gentium" w:cs="Gentium"/>
          <w:sz w:val="24"/>
        </w:rPr>
      </w:pPr>
      <w:r>
        <w:rPr>
          <w:rFonts w:ascii="Gentium" w:hAnsi="Gentium" w:cs="Gentium"/>
          <w:sz w:val="24"/>
        </w:rPr>
      </w:r>
      <w:r>
        <w:rPr>
          <w:rFonts w:ascii="Gentium" w:hAnsi="Gentium" w:cs="Gentium"/>
          <w:sz w:val="24"/>
        </w:rPr>
      </w:r>
      <w:r>
        <w:rPr>
          <w:rFonts w:ascii="Gentium" w:hAnsi="Gentium" w:cs="Gentium"/>
          <w:sz w:val="24"/>
        </w:rPr>
      </w:r>
    </w:p>
    <w:p>
      <w:pPr>
        <w:pStyle w:val="937"/>
        <w:widowControl w:val="false"/>
        <w:pBdr/>
        <w:spacing w:after="0" w:before="0" w:line="240" w:lineRule="auto"/>
        <w:ind/>
        <w:jc w:val="both"/>
        <w:rPr>
          <w:rFonts w:ascii="Gentium" w:hAnsi="Gentium" w:cs="Gentium"/>
        </w:rPr>
      </w:pPr>
      <w:r>
        <w:fldChar w:fldCharType="begin"/>
      </w:r>
      <w:r>
        <w:rPr>
          <w:rFonts w:ascii="Gentium" w:hAnsi="Gentium" w:eastAsia="Gentium" w:cs="Gentium"/>
        </w:rPr>
        <w:instrText xml:space="preserve">ADDIN ZOTERO_BIBL {"custom":[]} CSL_BIBLIOGRAPHY</w:instrText>
      </w:r>
      <w:r>
        <w:rPr>
          <w:rFonts w:ascii="Gentium" w:hAnsi="Gentium" w:eastAsia="Gentium" w:cs="Gentium"/>
        </w:rPr>
        <w:fldChar w:fldCharType="separate"/>
      </w:r>
      <w:r>
        <w:rPr>
          <w:rFonts w:ascii="Gentium" w:hAnsi="Gentium" w:eastAsia="Gentium" w:cs="Gentium"/>
          <w:sz w:val="24"/>
          <w:szCs w:val="24"/>
          <w:lang w:val="de-DE"/>
        </w:rPr>
        <w:t xml:space="preserve">Koch</w:t>
      </w:r>
      <w:r>
        <w:rPr>
          <w:rFonts w:ascii="Gentium" w:hAnsi="Gentium" w:eastAsia="Gentium" w:cs="Gentium"/>
          <w:lang w:val="de-DE"/>
        </w:rPr>
        <w:t xml:space="preserve">, </w:t>
      </w:r>
      <w:r>
        <w:rPr>
          <w:rFonts w:ascii="Gentium" w:hAnsi="Gentium" w:eastAsia="Gentium" w:cs="Gentium"/>
          <w:sz w:val="24"/>
          <w:szCs w:val="24"/>
          <w:lang w:val="de-DE"/>
        </w:rPr>
        <w:t xml:space="preserve">Dietrich-Alex. </w:t>
      </w:r>
      <w:r>
        <w:rPr>
          <w:rFonts w:ascii="Gentium" w:hAnsi="Gentium" w:eastAsia="Gentium" w:cs="Gentium"/>
          <w:i/>
          <w:iCs/>
          <w:sz w:val="24"/>
          <w:szCs w:val="24"/>
          <w:lang w:val="de-DE"/>
        </w:rPr>
        <w:t xml:space="preserve">Geschichte des Urchristentums. </w:t>
      </w:r>
      <w:r>
        <w:rPr>
          <w:rFonts w:ascii="Gentium" w:hAnsi="Gentium" w:eastAsia="Gentium" w:cs="Gentium"/>
          <w:i/>
          <w:iCs/>
          <w:sz w:val="24"/>
          <w:szCs w:val="24"/>
        </w:rPr>
        <w:t xml:space="preserve">Ein Lehrbuch</w:t>
      </w:r>
      <w:r>
        <w:rPr>
          <w:rFonts w:ascii="Gentium" w:hAnsi="Gentium" w:eastAsia="Gentium" w:cs="Gentium"/>
          <w:sz w:val="24"/>
          <w:szCs w:val="24"/>
        </w:rPr>
        <w:t xml:space="preserve">. Göttingen: Vandenhoeck &amp; Ruprecht, 2013</w:t>
      </w:r>
      <w:r>
        <w:rPr>
          <w:rFonts w:ascii="Gentium" w:hAnsi="Gentium" w:cs="Gentium"/>
        </w:rPr>
      </w:r>
      <w:r>
        <w:rPr>
          <w:rFonts w:ascii="Gentium" w:hAnsi="Gentium" w:cs="Gentium"/>
        </w:rPr>
      </w:r>
    </w:p>
    <w:p>
      <w:pPr>
        <w:pStyle w:val="1016"/>
        <w:pBdr/>
        <w:spacing w:after="0" w:afterAutospacing="0" w:before="0" w:beforeAutospacing="0"/>
        <w:ind w:right="0" w:firstLine="0" w:left="680"/>
        <w:jc w:val="both"/>
        <w:rPr>
          <w:rFonts w:ascii="Gentium" w:hAnsi="Gentium" w:cs="Gentium"/>
        </w:rPr>
      </w:pPr>
      <w:r>
        <w:rPr>
          <w:rFonts w:ascii="Gentium" w:hAnsi="Gentium" w:eastAsia="Gentium" w:cs="Gentium"/>
        </w:rPr>
      </w:r>
      <w:r>
        <w:rPr>
          <w:rFonts w:ascii="Gentium" w:hAnsi="Gentium" w:eastAsia="Gentium" w:cs="Gentium"/>
        </w:rPr>
        <w:fldChar w:fldCharType="end"/>
      </w:r>
      <w:r>
        <w:rPr>
          <w:rFonts w:ascii="Gentium" w:hAnsi="Gentium" w:eastAsia="Gentium" w:cs="Gentium"/>
        </w:rPr>
        <w:t xml:space="preserve">Addressing the Roman social, political, and religious context, the Jewish religious context, the Jesus movement, with a very </w:t>
      </w:r>
      <w:r>
        <w:rPr>
          <w:rFonts w:ascii="Gentium" w:hAnsi="Gentium" w:eastAsia="Gentium" w:cs="Gentium"/>
        </w:rPr>
        <w:t xml:space="preserve">substantial section on the early expansion and mission of the apostle Paul up to the first Jewish War. That is followed by sections on the developments in early Christian groups and conflicts with the surrounding Graeco-Roman society up to Hadrian’s reign.</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lang w:val="de-DE"/>
        </w:rPr>
        <w:t xml:space="preserve">Fischer, Karl Martin. </w:t>
      </w:r>
      <w:r>
        <w:rPr>
          <w:rFonts w:ascii="Gentium" w:hAnsi="Gentium" w:eastAsia="Gentium" w:cs="Gentium"/>
          <w:i/>
          <w:iCs/>
          <w:lang w:val="de-DE"/>
        </w:rPr>
        <w:t xml:space="preserve">Das Urchristentum</w:t>
      </w:r>
      <w:r>
        <w:rPr>
          <w:rFonts w:ascii="Gentium" w:hAnsi="Gentium" w:eastAsia="Gentium" w:cs="Gentium"/>
          <w:lang w:val="de-DE"/>
        </w:rPr>
        <w:t xml:space="preserve">. Vol. I/01. 2nd ed. Kirchengeschichte in Einzeldarstellungen. </w:t>
      </w:r>
      <w:r>
        <w:rPr>
          <w:rFonts w:ascii="Gentium" w:hAnsi="Gentium" w:eastAsia="Gentium" w:cs="Gentium"/>
        </w:rPr>
        <w:t xml:space="preserve">Leipzig: Evangelische Verlagsanstalt, 1991.</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Fischer treats the growth of Christianity from Jesus through the apostolic and sub-apostolic eras to the eme</w:t>
      </w:r>
      <w:r>
        <w:rPr>
          <w:rFonts w:ascii="Gentium" w:hAnsi="Gentium" w:eastAsia="Gentium" w:cs="Gentium"/>
        </w:rPr>
        <w:t xml:space="preserve">rgence of Christianity as visible cultural entity, the first persecutions, the parting of the ways between Judaism and Christianity, all set within the political, cultural, and religious context of the Roman Empire, as well as Judaism in the Roman Empire. </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right="0" w:hanging="709" w:left="709"/>
        <w:jc w:val="both"/>
        <w:rPr>
          <w:rFonts w:ascii="Gentium" w:hAnsi="Gentium" w:cs="Gentium"/>
          <w:sz w:val="24"/>
        </w:rPr>
      </w:pPr>
      <w:r>
        <w:rPr>
          <w:rFonts w:ascii="Gentium" w:hAnsi="Gentium" w:eastAsia="Gentium" w:cs="Gentium"/>
          <w:sz w:val="24"/>
          <w:lang w:val="de-DE"/>
        </w:rPr>
        <w:t xml:space="preserve">Tröger, Karl-Wolfgang. </w:t>
      </w:r>
      <w:r>
        <w:rPr>
          <w:rFonts w:ascii="Gentium" w:hAnsi="Gentium" w:eastAsia="Gentium" w:cs="Gentium"/>
          <w:i/>
          <w:iCs/>
          <w:sz w:val="24"/>
          <w:lang w:val="de-DE"/>
        </w:rPr>
        <w:t xml:space="preserve">Das Christentum im zweiten Jahrhundert</w:t>
      </w:r>
      <w:r>
        <w:rPr>
          <w:rFonts w:ascii="Gentium" w:hAnsi="Gentium" w:eastAsia="Gentium" w:cs="Gentium"/>
          <w:sz w:val="24"/>
          <w:lang w:val="de-DE"/>
        </w:rPr>
        <w:t xml:space="preserve">. Vol. I/2. Kirchengeschichte in Einzeldarstellungen. </w:t>
      </w:r>
      <w:r>
        <w:rPr>
          <w:rFonts w:ascii="Gentium" w:hAnsi="Gentium" w:eastAsia="Gentium" w:cs="Gentium"/>
          <w:sz w:val="24"/>
          <w:lang w:val="en-ZA"/>
        </w:rPr>
        <w:t xml:space="preserve">Leipzig: Evangelische Verlagsanstalt, 1988.</w:t>
      </w:r>
      <w:r>
        <w:rPr>
          <w:rFonts w:ascii="Gentium" w:hAnsi="Gentium" w:cs="Gentium"/>
          <w:sz w:val="24"/>
        </w:rPr>
      </w:r>
      <w:r>
        <w:rPr>
          <w:rFonts w:ascii="Gentium" w:hAnsi="Gentium" w:cs="Gentium"/>
          <w:sz w:val="24"/>
        </w:rPr>
      </w:r>
    </w:p>
    <w:p>
      <w:pPr>
        <w:pStyle w:val="937"/>
        <w:pBdr/>
        <w:spacing w:line="240" w:lineRule="auto"/>
        <w:ind w:left="709"/>
        <w:jc w:val="both"/>
        <w:rPr>
          <w:rFonts w:ascii="Gentium" w:hAnsi="Gentium" w:cs="Gentium"/>
          <w:sz w:val="24"/>
          <w:szCs w:val="24"/>
        </w:rPr>
      </w:pPr>
      <w:r>
        <w:rPr>
          <w:rFonts w:ascii="Gentium" w:hAnsi="Gentium" w:eastAsia="Gentium" w:cs="Gentium"/>
          <w:sz w:val="24"/>
          <w:szCs w:val="24"/>
          <w:lang w:val="en-ZA"/>
        </w:rPr>
        <w:t xml:space="preserve">Extensive presentation of the social, cultural, and religious context of the Roman Empire in the second century, and the place of Judaism with the Empire. Tröger describes the expansion of Christianity into</w:t>
      </w:r>
      <w:r>
        <w:rPr>
          <w:rFonts w:ascii="Gentium" w:hAnsi="Gentium" w:eastAsia="Gentium" w:cs="Gentium"/>
          <w:sz w:val="24"/>
          <w:szCs w:val="24"/>
          <w:lang w:val="en-ZA"/>
        </w:rPr>
        <w:t xml:space="preserve"> its main centers as well as the development of diversity in Christianity as well as the first creeds. It closes with a section on the organization of Christian communities and the problems of persecution and internal strife or the development of heresies.</w:t>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eastAsia="Gentium" w:cs="Gentium"/>
          <w:highlight w:val="none"/>
          <w:lang w:val="de-DE"/>
        </w:rPr>
      </w:pPr>
      <w:r>
        <w:rPr>
          <w:rFonts w:ascii="Gentium" w:hAnsi="Gentium" w:eastAsia="Gentium" w:cs="Gentium"/>
          <w:lang w:val="de-DE"/>
        </w:rPr>
        <w:t xml:space="preserve">Haendler, Gert. </w:t>
      </w:r>
      <w:r>
        <w:rPr>
          <w:rFonts w:ascii="Gentium" w:hAnsi="Gentium" w:eastAsia="Gentium" w:cs="Gentium"/>
          <w:i/>
          <w:iCs/>
          <w:lang w:val="de-DE"/>
        </w:rPr>
        <w:t xml:space="preserve">Von Tertullian bis Ambrosius. Die Kirche im Abendland vom Ende des 2. bis zum Ende des 4. Jahrhunderts</w:t>
      </w:r>
      <w:r>
        <w:rPr>
          <w:rFonts w:ascii="Gentium" w:hAnsi="Gentium" w:eastAsia="Gentium" w:cs="Gentium"/>
          <w:lang w:val="de-DE"/>
        </w:rPr>
        <w:t xml:space="preserve">. Vol. I/3. 4th ed. Kirchengeschichte in Einzeldarstellungen. Leipzig: Evangelische Verlagsanstalt, 1992.</w:t>
      </w:r>
      <w:r>
        <w:rPr>
          <w:rFonts w:ascii="Gentium" w:hAnsi="Gentium" w:eastAsia="Gentium" w:cs="Gentium"/>
          <w:highlight w:val="none"/>
          <w:lang w:val="de-DE"/>
        </w:rPr>
      </w:r>
      <w:r>
        <w:rPr>
          <w:rFonts w:ascii="Gentium" w:hAnsi="Gentium" w:eastAsia="Gentium" w:cs="Gentium"/>
          <w:highlight w:val="none"/>
          <w:lang w:val="de-DE"/>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lang w:val="en-ZA"/>
        </w:rPr>
        <w:t xml:space="preserve">Chapters on Tertullian and his context in North Africa; substantial section on developments in the church in Rome, from the rise of the papacy to Cyprian and the fir</w:t>
      </w:r>
      <w:r>
        <w:rPr>
          <w:rFonts w:ascii="Gentium" w:hAnsi="Gentium" w:eastAsia="Gentium" w:cs="Gentium"/>
          <w:lang w:val="en-ZA"/>
        </w:rPr>
        <w:t xml:space="preserve">st heresiologies; Constantine and his role in the first councils as well as the Arian controversies; the role of Ambrosius; the bishops of Rome and the relation to Constantinople; overview of heretics and monasticism in North Africa, Gaul, Spain and Italy.</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lang w:val="de-DE"/>
        </w:rPr>
        <w:t xml:space="preserve">Winkelmann, Friedhelm. </w:t>
      </w:r>
      <w:r>
        <w:rPr>
          <w:rFonts w:ascii="Gentium" w:hAnsi="Gentium" w:eastAsia="Gentium" w:cs="Gentium"/>
          <w:i/>
          <w:iCs/>
          <w:lang w:val="de-DE"/>
        </w:rPr>
        <w:t xml:space="preserve">Die Östlichen Kirchen in der Epoche der Christologischen Auseinandersetzungen (5. Bis 7. Jahrhundert)</w:t>
      </w:r>
      <w:r>
        <w:rPr>
          <w:rFonts w:ascii="Gentium" w:hAnsi="Gentium" w:eastAsia="Gentium" w:cs="Gentium"/>
          <w:lang w:val="de-DE"/>
        </w:rPr>
        <w:t xml:space="preserve">. Vol. I/6. 4th ed. Kirchengeschichte in Einzeldarstellungen. Leipzig: Evangelische Verlagsanstalt, 1994.</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lang w:val="en-ZA"/>
        </w:rPr>
        <w:t xml:space="preserve">Covers the division of the Empire and the early history of the Byzantine Empire; a substantial section on the history and developments of Christology in the East; the ma</w:t>
      </w:r>
      <w:r>
        <w:rPr>
          <w:rFonts w:ascii="Gentium" w:hAnsi="Gentium" w:eastAsia="Gentium" w:cs="Gentium"/>
          <w:lang w:val="en-ZA"/>
        </w:rPr>
        <w:t xml:space="preserve">jor councils and the leading figures between Constantinople I over Chalcedon to Constantinople IV (692); with a section on the development of anti-Chalcedonian churches; concluding with a discussion of the nature of the church as Byzantine imperial church.</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lang w:val="de-DE"/>
        </w:rPr>
        <w:t xml:space="preserve">Haendler, Gert. </w:t>
      </w:r>
      <w:r>
        <w:rPr>
          <w:rFonts w:ascii="Gentium" w:hAnsi="Gentium" w:eastAsia="Gentium" w:cs="Gentium"/>
          <w:i/>
          <w:iCs/>
          <w:lang w:val="de-DE"/>
        </w:rPr>
        <w:t xml:space="preserve">Die abendländische Kirche im Zeitalter der Völkerwanderung</w:t>
      </w:r>
      <w:r>
        <w:rPr>
          <w:rFonts w:ascii="Gentium" w:hAnsi="Gentium" w:eastAsia="Gentium" w:cs="Gentium"/>
          <w:lang w:val="de-DE"/>
        </w:rPr>
        <w:t xml:space="preserve">. Vol. I/5. 4th ed. Kirchengeschichte in Einzeldarstellungen. Leipzig: Evangelische Verlagsanstalt, 1995.</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lang w:val="en-ZA"/>
        </w:rPr>
        <w:t xml:space="preserve">Focuses on Augustin, his work and his legacy, and on Leo the Great; then covers the spread of Christianity and the Christianization of Germans, Ostrogoths, Visigoths, Vandals and the Franks; concludes with Gregory the Great and the church in Britain.</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bookmarkStart w:id="2" w:name="_Toc414386045"/>
      <w:r>
        <w:rPr>
          <w:rFonts w:ascii="Gentium" w:hAnsi="Gentium" w:eastAsia="Gentium" w:cs="Gentium"/>
          <w:lang w:val="en-ZA"/>
        </w:rPr>
        <w:t xml:space="preserve">Christendom and late Antiquity</w:t>
      </w:r>
      <w:bookmarkEnd w:id="2"/>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rPr>
        <w:t xml:space="preserve">Herrin takes the history of early Christianity to the end of Late Antiquity up to the emergence of a Western and Eastern Christendom and the rise of, and initial</w:t>
      </w:r>
      <w:r>
        <w:rPr>
          <w:rFonts w:ascii="Gentium" w:hAnsi="Gentium" w:eastAsia="Gentium" w:cs="Gentium"/>
        </w:rPr>
        <w:t xml:space="preserve"> confrontation with Islam. The work of Bowersock, Brown, and Grabar, eds. does not deal with Christianity as such, but sets the later period of early Christianity in its historical and material cultural context. This should be read in conjunction with Mark</w:t>
      </w:r>
      <w:r>
        <w:rPr>
          <w:rFonts w:ascii="Gentium" w:hAnsi="Gentium" w:eastAsia="Gentium" w:cs="Gentium"/>
        </w:rPr>
        <w:t xml:space="preserve">us who investigates the issue of the inculturation of Christianity in the world of the later Roman Empire, as well as the essay by Lincoln as a kind of theory of the emergence of Christianity as an epiphenomenon of the transition to the post-ancient world.</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Herrin, Judith. </w:t>
      </w:r>
      <w:r>
        <w:rPr>
          <w:rFonts w:ascii="Gentium" w:hAnsi="Gentium" w:eastAsia="Gentium" w:cs="Gentium"/>
          <w:i/>
          <w:iCs/>
        </w:rPr>
        <w:t xml:space="preserve">The Formation of Christendom</w:t>
      </w:r>
      <w:r>
        <w:rPr>
          <w:rFonts w:ascii="Gentium" w:hAnsi="Gentium" w:eastAsia="Gentium" w:cs="Gentium"/>
        </w:rPr>
        <w:t xml:space="preserve">. Princeton, N.J.: Princeton University Press, 1987.</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ab/>
        <w:t xml:space="preserve">Covers the social and cultural transformations that cha</w:t>
      </w:r>
      <w:r>
        <w:rPr>
          <w:rFonts w:ascii="Gentium" w:hAnsi="Gentium" w:eastAsia="Gentium" w:cs="Gentium"/>
        </w:rPr>
        <w:t xml:space="preserve">racterized the later Roman Empire, the formation of two empires and their subsequent divergent histories. Herrin sets out the two types of Christendom arising from this division and its interaction with Islam, as well as the formation of Byzantine culture.</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Bowersock, Glen W., Peter Brown, and Oleg Grabar, eds. </w:t>
      </w:r>
      <w:r>
        <w:rPr>
          <w:rFonts w:ascii="Gentium" w:hAnsi="Gentium" w:eastAsia="Gentium" w:cs="Gentium"/>
          <w:i/>
          <w:iCs/>
        </w:rPr>
        <w:t xml:space="preserve">Interpreting Late Antiquity. Essays on the Postclassical World</w:t>
      </w:r>
      <w:r>
        <w:rPr>
          <w:rFonts w:ascii="Gentium" w:hAnsi="Gentium" w:eastAsia="Gentium" w:cs="Gentium"/>
        </w:rPr>
        <w:t xml:space="preserve">. Cambridge, Mass.: Harvard University Press, 2001.</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A comprehensive overview of what constituted “Late Antiquity”; chapters deal with revisionings of history, the refashioning of</w:t>
      </w:r>
      <w:r>
        <w:rPr>
          <w:rFonts w:ascii="Gentium" w:hAnsi="Gentium" w:eastAsia="Gentium" w:cs="Gentium"/>
        </w:rPr>
        <w:t xml:space="preserve"> sacred landscapes and the self, the rise of new constellations of religious communities, reconstitutions of demographics with the border of the late Empire, the making of a Christian (Byzantine) Empire, the rise of Islam, and lifestyles in Late Antiquity.</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Markus, Robert A. </w:t>
      </w:r>
      <w:r>
        <w:rPr>
          <w:rFonts w:ascii="Gentium" w:hAnsi="Gentium" w:eastAsia="Gentium" w:cs="Gentium"/>
          <w:i/>
          <w:iCs/>
        </w:rPr>
        <w:t xml:space="preserve">The End of Ancient Christianity</w:t>
      </w:r>
      <w:r>
        <w:rPr>
          <w:rFonts w:ascii="Gentium" w:hAnsi="Gentium" w:eastAsia="Gentium" w:cs="Gentium"/>
        </w:rPr>
        <w:t xml:space="preserve">. Cambridge; New York, N.Y.: Cambridge University Press, 1990.</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Considers the cultural changes brought about by the Christianising of the late Roman Empire by tracking changes in Christian identity formation, as well as different understandings of sacred time and sacred space.</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bookmarkStart w:id="3" w:name="_Toc414386046"/>
      <w:r>
        <w:rPr>
          <w:rFonts w:ascii="Gentium" w:hAnsi="Gentium" w:eastAsia="Gentium" w:cs="Gentium"/>
        </w:rPr>
        <w:t xml:space="preserve">Theory and method</w:t>
      </w:r>
      <w:bookmarkEnd w:id="3"/>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lang w:val="en-ZA"/>
        </w:rPr>
        <w:t xml:space="preserve">In addition to Ashbrook-Harvey and</w:t>
      </w:r>
      <w:r>
        <w:rPr>
          <w:rFonts w:ascii="Gentium" w:hAnsi="Gentium" w:eastAsia="Gentium" w:cs="Gentium"/>
          <w:lang w:val="en-ZA"/>
        </w:rPr>
        <w:t xml:space="preserve"> Hunter, eds., and Clark mentioned above, in matters theoretical the essay by Lincoln noted here should be required reading. It has established itself as one of the most famously cited essays on method in the interpretation of religion and religious texts.</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lang w:val="en-ZA"/>
        </w:rPr>
        <w:t xml:space="preserve"> </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Lincoln, Bruce. “Theses on Method.” </w:t>
      </w:r>
      <w:r>
        <w:rPr>
          <w:rFonts w:ascii="Gentium" w:hAnsi="Gentium" w:eastAsia="Gentium" w:cs="Gentium"/>
          <w:i/>
          <w:iCs/>
        </w:rPr>
        <w:t xml:space="preserve">Method &amp; Theory in the Study of Religion</w:t>
      </w:r>
      <w:r>
        <w:rPr>
          <w:rFonts w:ascii="Gentium" w:hAnsi="Gentium" w:eastAsia="Gentium" w:cs="Gentium"/>
        </w:rPr>
        <w:t xml:space="preserve"> 17, no. 1 (2005): 8–10; now republished in idem. </w:t>
      </w:r>
      <w:r>
        <w:rPr>
          <w:rFonts w:ascii="Gentium" w:hAnsi="Gentium" w:eastAsia="Gentium" w:cs="Gentium"/>
          <w:i/>
          <w:iCs/>
        </w:rPr>
        <w:t xml:space="preserve">Gods and Demons, Priests and Scholars. Critical Explorations in the History of Religions</w:t>
      </w:r>
      <w:r>
        <w:rPr>
          <w:rFonts w:ascii="Gentium" w:hAnsi="Gentium" w:eastAsia="Gentium" w:cs="Gentium"/>
        </w:rPr>
        <w:t xml:space="preserve">. Chicago, Ill./London: University Of Chicago Press, 2012: 1--3. </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lang w:val="en-ZA"/>
        </w:rPr>
        <w:t xml:space="preserve">Famous statement on method in religious studies and, in general, the reading of religious texts. Cautions especially against taking the authority encoded in the text as descriptive of historical reality as it was for everyone.</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bookmarkStart w:id="4" w:name="_Toc414386047"/>
      <w:r>
        <w:rPr>
          <w:rFonts w:ascii="Gentium" w:hAnsi="Gentium" w:eastAsia="Gentium" w:cs="Gentium"/>
          <w:lang w:val="en-ZA"/>
        </w:rPr>
        <w:t xml:space="preserve">Encyclopedias</w:t>
      </w:r>
      <w:bookmarkEnd w:id="4"/>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rPr>
        <w:t xml:space="preserve">Some of the many standard encyclopedias that contain authoritative entries on key figures, institutions, periods, or geographic locales are included here. Standard encyclopedias are </w:t>
      </w:r>
      <w:r>
        <w:rPr>
          <w:rFonts w:ascii="Gentium" w:hAnsi="Gentium" w:eastAsia="Gentium" w:cs="Gentium"/>
          <w:i/>
        </w:rPr>
        <w:t xml:space="preserve">Religion Past and Present</w:t>
      </w:r>
      <w:r>
        <w:rPr>
          <w:rFonts w:ascii="Gentium" w:hAnsi="Gentium" w:eastAsia="Gentium" w:cs="Gentium"/>
        </w:rPr>
        <w:t xml:space="preserve"> (originally German: Die Religion in Geschichte und Gegenwart), </w:t>
      </w:r>
      <w:r>
        <w:rPr>
          <w:rFonts w:ascii="Gentium" w:hAnsi="Gentium" w:eastAsia="Gentium" w:cs="Gentium"/>
          <w:i/>
        </w:rPr>
        <w:t xml:space="preserve">Theologische Realenzyklopädie</w:t>
      </w:r>
      <w:r>
        <w:rPr>
          <w:rFonts w:ascii="Gentium" w:hAnsi="Gentium" w:eastAsia="Gentium" w:cs="Gentium"/>
        </w:rPr>
        <w:t xml:space="preserve">, </w:t>
      </w:r>
      <w:r>
        <w:rPr>
          <w:rFonts w:ascii="Gentium" w:hAnsi="Gentium" w:eastAsia="Gentium" w:cs="Gentium"/>
          <w:i/>
        </w:rPr>
        <w:t xml:space="preserve">Brill’s New Pauly</w:t>
      </w:r>
      <w:r>
        <w:rPr>
          <w:rFonts w:ascii="Gentium" w:hAnsi="Gentium" w:eastAsia="Gentium" w:cs="Gentium"/>
        </w:rPr>
        <w:t xml:space="preserve"> (original German: Der kleine Pauly), and </w:t>
      </w:r>
      <w:r>
        <w:rPr>
          <w:rFonts w:ascii="Gentium" w:hAnsi="Gentium" w:eastAsia="Gentium" w:cs="Gentium"/>
          <w:i/>
        </w:rPr>
        <w:t xml:space="preserve">The</w:t>
      </w:r>
      <w:r>
        <w:rPr>
          <w:rFonts w:ascii="Gentium" w:hAnsi="Gentium" w:eastAsia="Gentium" w:cs="Gentium"/>
        </w:rPr>
        <w:t xml:space="preserve"> </w:t>
      </w:r>
      <w:r>
        <w:rPr>
          <w:rFonts w:ascii="Gentium" w:hAnsi="Gentium" w:eastAsia="Gentium" w:cs="Gentium"/>
          <w:i/>
        </w:rPr>
        <w:t xml:space="preserve">Encyclopedia of Christianity</w:t>
      </w:r>
      <w:r>
        <w:rPr>
          <w:rFonts w:ascii="Gentium" w:hAnsi="Gentium" w:eastAsia="Gentium" w:cs="Gentium"/>
        </w:rPr>
        <w:t xml:space="preserve"> (original German: Evangelisches Kirchenlexikon). </w:t>
      </w:r>
      <w:r>
        <w:rPr>
          <w:rFonts w:ascii="Gentium" w:hAnsi="Gentium" w:eastAsia="Gentium" w:cs="Gentium"/>
          <w:lang w:val="en-ZA"/>
        </w:rPr>
        <w:t xml:space="preserve">Encyclopaedia entries are ideal for shorter introductions and overviews, especially when foc</w:t>
      </w:r>
      <w:r>
        <w:rPr>
          <w:rFonts w:ascii="Gentium" w:hAnsi="Gentium" w:eastAsia="Gentium" w:cs="Gentium"/>
          <w:lang w:val="en-ZA"/>
        </w:rPr>
        <w:t xml:space="preserve">used on specific issues such as early Christian and ancient authors, religious movements, early church/early Christianity, Jewish Christianity, etc. Entries also contain references to further readings. All encyclopedias mentioned here are available online.</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20" w:left="720"/>
        <w:jc w:val="both"/>
        <w:rPr>
          <w:rFonts w:ascii="Gentium" w:hAnsi="Gentium" w:cs="Gentium"/>
        </w:rPr>
      </w:pPr>
      <w:r>
        <w:rPr>
          <w:rFonts w:ascii="Gentium" w:hAnsi="Gentium" w:eastAsia="Gentium" w:cs="Gentium"/>
          <w:lang w:val="en-ZA"/>
        </w:rPr>
        <w:t xml:space="preserve">Betz, Hans Dieter, Don S. Browning, Bernd Janowski, and Eberhard Jüngel, eds. </w:t>
      </w:r>
      <w:r>
        <w:rPr>
          <w:rFonts w:ascii="Gentium" w:hAnsi="Gentium" w:eastAsia="Gentium" w:cs="Gentium"/>
          <w:i/>
          <w:iCs/>
          <w:lang w:val="en-ZA"/>
        </w:rPr>
        <w:t xml:space="preserve">Religion Past &amp; Present: Encyclopedia of Theology and Religion.</w:t>
      </w:r>
      <w:r>
        <w:rPr>
          <w:rFonts w:ascii="Gentium" w:hAnsi="Gentium" w:eastAsia="Gentium" w:cs="Gentium"/>
          <w:lang w:val="en-ZA"/>
        </w:rPr>
        <w:t xml:space="preserve"> 13 vols. Leiden; Boston, Mass.: Brill, 2007.</w:t>
      </w:r>
      <w:r>
        <w:rPr>
          <w:rFonts w:ascii="Gentium" w:hAnsi="Gentium" w:cs="Gentium"/>
        </w:rPr>
      </w:r>
      <w:r>
        <w:rPr>
          <w:rFonts w:ascii="Gentium" w:hAnsi="Gentium" w:cs="Gentium"/>
        </w:rPr>
      </w:r>
    </w:p>
    <w:p>
      <w:pPr>
        <w:pStyle w:val="1016"/>
        <w:pBdr/>
        <w:spacing w:after="0" w:afterAutospacing="0" w:before="0" w:beforeAutospacing="0"/>
        <w:ind w:right="0" w:firstLine="0" w:left="680"/>
        <w:jc w:val="both"/>
        <w:rPr>
          <w:rFonts w:ascii="Gentium" w:hAnsi="Gentium" w:cs="Gentium"/>
        </w:rPr>
      </w:pPr>
      <w:r>
        <w:rPr>
          <w:rFonts w:ascii="Gentium" w:hAnsi="Gentium" w:eastAsia="Gentium" w:cs="Gentium"/>
          <w:lang w:val="en-ZA"/>
        </w:rPr>
        <w:t xml:space="preserve">A comprehensive historical encyclo</w:t>
      </w:r>
      <w:r>
        <w:rPr>
          <w:rFonts w:ascii="Gentium" w:hAnsi="Gentium" w:eastAsia="Gentium" w:cs="Gentium"/>
          <w:lang w:val="en-ZA"/>
        </w:rPr>
        <w:t xml:space="preserve">pedia covering the history of religion from antiquity to the present. It includes thematic entries relating to early Judaism and early to late antique Christianity, early Jewish and early Christian literature, figures, authors, rituals and other phenomena.</w:t>
      </w:r>
      <w:r>
        <w:rPr>
          <w:rFonts w:ascii="Gentium" w:hAnsi="Gentium" w:cs="Gentium"/>
        </w:rPr>
      </w:r>
      <w:r>
        <w:rPr>
          <w:rFonts w:ascii="Gentium" w:hAnsi="Gentium" w:cs="Gentium"/>
        </w:rPr>
      </w:r>
    </w:p>
    <w:p>
      <w:pPr>
        <w:pStyle w:val="1016"/>
        <w:pBdr/>
        <w:spacing w:after="0" w:afterAutospacing="0" w:before="0" w:beforeAutospacing="0"/>
        <w:ind w:right="0" w:hanging="720" w:left="720"/>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20" w:left="720"/>
        <w:jc w:val="both"/>
        <w:rPr>
          <w:rFonts w:ascii="Gentium" w:hAnsi="Gentium" w:cs="Gentium"/>
        </w:rPr>
      </w:pPr>
      <w:r>
        <w:rPr>
          <w:rFonts w:ascii="Gentium" w:hAnsi="Gentium" w:eastAsia="Gentium" w:cs="Gentium"/>
          <w:lang w:val="en-ZA"/>
        </w:rPr>
        <w:t xml:space="preserve">Cancik, Hubert, Helmuth Schneider, Christine F. Salazar, and David E. Orton, eds. </w:t>
      </w:r>
      <w:r>
        <w:rPr>
          <w:rFonts w:ascii="Gentium" w:hAnsi="Gentium" w:eastAsia="Gentium" w:cs="Gentium"/>
          <w:i/>
          <w:iCs/>
          <w:lang w:val="en-ZA"/>
        </w:rPr>
        <w:t xml:space="preserve">Brill’s New Pauly: Encyclopaedia of the Ancient World.</w:t>
      </w:r>
      <w:r>
        <w:rPr>
          <w:rFonts w:ascii="Gentium" w:hAnsi="Gentium" w:eastAsia="Gentium" w:cs="Gentium"/>
          <w:lang w:val="en-ZA"/>
        </w:rPr>
        <w:t xml:space="preserve"> 15 vols. Leiden ; Boston, Mass.: Brill, 2002--2009.</w:t>
      </w:r>
      <w:r>
        <w:rPr>
          <w:rFonts w:ascii="Gentium" w:hAnsi="Gentium" w:cs="Gentium"/>
        </w:rPr>
      </w:r>
      <w:r>
        <w:rPr>
          <w:rFonts w:ascii="Gentium" w:hAnsi="Gentium" w:cs="Gentium"/>
        </w:rPr>
      </w:r>
    </w:p>
    <w:p>
      <w:pPr>
        <w:pStyle w:val="1016"/>
        <w:pBdr/>
        <w:spacing w:after="0" w:afterAutospacing="0" w:before="0" w:beforeAutospacing="0"/>
        <w:ind w:right="0" w:firstLine="0" w:left="680"/>
        <w:jc w:val="both"/>
        <w:rPr>
          <w:rFonts w:ascii="Gentium" w:hAnsi="Gentium" w:cs="Gentium"/>
        </w:rPr>
      </w:pPr>
      <w:r>
        <w:rPr>
          <w:rFonts w:ascii="Gentium" w:hAnsi="Gentium" w:eastAsia="Gentium" w:cs="Gentium"/>
          <w:lang w:val="en-ZA"/>
        </w:rPr>
        <w:t xml:space="preserve">A modern edition of the famous encyclopedia of classical history. While mostly focused on classical history it also has entries on early Christian authors, figures, events, and rituals from the earliest Jesus movement into the Byzantine period. </w:t>
      </w:r>
      <w:r>
        <w:rPr>
          <w:rFonts w:ascii="Gentium" w:hAnsi="Gentium" w:cs="Gentium"/>
        </w:rPr>
      </w:r>
      <w:r>
        <w:rPr>
          <w:rFonts w:ascii="Gentium" w:hAnsi="Gentium" w:cs="Gentium"/>
        </w:rPr>
      </w:r>
    </w:p>
    <w:p>
      <w:pPr>
        <w:pStyle w:val="1016"/>
        <w:pBdr/>
        <w:spacing w:after="0" w:afterAutospacing="0" w:before="0" w:beforeAutospacing="0"/>
        <w:ind w:right="0" w:hanging="720" w:left="720"/>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20" w:left="720"/>
        <w:jc w:val="both"/>
        <w:rPr>
          <w:rFonts w:ascii="Gentium" w:hAnsi="Gentium" w:cs="Gentium"/>
        </w:rPr>
      </w:pPr>
      <w:r>
        <w:rPr>
          <w:rFonts w:ascii="Gentium" w:hAnsi="Gentium" w:eastAsia="Gentium" w:cs="Gentium"/>
          <w:lang w:val="en-ZA"/>
        </w:rPr>
        <w:t xml:space="preserve">Fahlbusch, Erwin, Jan Milic Lochman, John Mbiti, Jaroslav Jan Pelikan, and Lukas Vischer, eds. </w:t>
      </w:r>
      <w:r>
        <w:rPr>
          <w:rFonts w:ascii="Gentium" w:hAnsi="Gentium" w:eastAsia="Gentium" w:cs="Gentium"/>
          <w:i/>
          <w:iCs/>
          <w:lang w:val="en-ZA"/>
        </w:rPr>
        <w:t xml:space="preserve">The Encyclopedia of Christianity</w:t>
      </w:r>
      <w:r>
        <w:rPr>
          <w:rFonts w:ascii="Gentium" w:hAnsi="Gentium" w:eastAsia="Gentium" w:cs="Gentium"/>
          <w:lang w:val="en-ZA"/>
        </w:rPr>
        <w:t xml:space="preserve">. 5 vols. Grand Rapids, Mich.; Leiden/Boston, Mass.: Eerdmans ; Brill, 2003.</w:t>
      </w:r>
      <w:r>
        <w:rPr>
          <w:rFonts w:ascii="Gentium" w:hAnsi="Gentium" w:cs="Gentium"/>
        </w:rPr>
      </w:r>
      <w:r>
        <w:rPr>
          <w:rFonts w:ascii="Gentium" w:hAnsi="Gentium" w:cs="Gentium"/>
        </w:rPr>
      </w:r>
    </w:p>
    <w:p>
      <w:pPr>
        <w:pStyle w:val="1016"/>
        <w:pBdr/>
        <w:spacing w:after="0" w:afterAutospacing="0" w:before="0" w:beforeAutospacing="0"/>
        <w:ind w:right="0" w:firstLine="0" w:left="720"/>
        <w:jc w:val="both"/>
        <w:rPr>
          <w:rFonts w:ascii="Gentium" w:hAnsi="Gentium" w:cs="Gentium"/>
        </w:rPr>
      </w:pPr>
      <w:r>
        <w:rPr>
          <w:rFonts w:ascii="Gentium" w:hAnsi="Gentium" w:eastAsia="Gentium" w:cs="Gentium"/>
        </w:rPr>
        <w:t xml:space="preserve">Covers the 2000 year apostolic tradition and Christian history. In between entries on the later history of Christianity there are entries on early Christian history, figures, authors, groups, and rituals. (Based on the third, revised edition of the German </w:t>
      </w:r>
      <w:r>
        <w:rPr>
          <w:rFonts w:ascii="Gentium" w:hAnsi="Gentium" w:eastAsia="Gentium" w:cs="Gentium"/>
          <w:i/>
          <w:iCs/>
        </w:rPr>
        <w:t xml:space="preserve">Evangelisches Kirchenlexikon</w:t>
      </w:r>
      <w:r>
        <w:rPr>
          <w:rFonts w:ascii="Gentium" w:hAnsi="Gentium" w:eastAsia="Gentium" w:cs="Gentium"/>
        </w:rPr>
        <w:t xml:space="preserve">.) </w:t>
      </w:r>
      <w:r>
        <w:rPr>
          <w:rFonts w:ascii="Gentium" w:hAnsi="Gentium" w:cs="Gentium"/>
        </w:rPr>
      </w:r>
      <w:r>
        <w:rPr>
          <w:rFonts w:ascii="Gentium" w:hAnsi="Gentium" w:cs="Gentium"/>
        </w:rPr>
      </w:r>
    </w:p>
    <w:p>
      <w:pPr>
        <w:pStyle w:val="1016"/>
        <w:pBdr/>
        <w:spacing w:after="0" w:afterAutospacing="0" w:before="0" w:beforeAutospacing="0"/>
        <w:ind w:right="0" w:hanging="720" w:left="720"/>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20" w:left="720"/>
        <w:jc w:val="both"/>
        <w:rPr>
          <w:rFonts w:ascii="Gentium" w:hAnsi="Gentium" w:cs="Gentium"/>
        </w:rPr>
      </w:pPr>
      <w:r>
        <w:rPr>
          <w:rFonts w:ascii="Gentium" w:hAnsi="Gentium" w:eastAsia="Gentium" w:cs="Gentium"/>
          <w:lang w:val="en-ZA"/>
        </w:rPr>
        <w:t xml:space="preserve">Müller, Gerhard, Horst Balz, James K. Cameron, et al., eds. </w:t>
      </w:r>
      <w:r>
        <w:rPr>
          <w:rFonts w:ascii="Gentium" w:hAnsi="Gentium" w:eastAsia="Gentium" w:cs="Gentium"/>
          <w:i/>
          <w:iCs/>
          <w:lang w:val="en-ZA"/>
        </w:rPr>
        <w:t xml:space="preserve">Theologische Realenzyklopädie</w:t>
      </w:r>
      <w:r>
        <w:rPr>
          <w:rFonts w:ascii="Gentium" w:hAnsi="Gentium" w:eastAsia="Gentium" w:cs="Gentium"/>
          <w:lang w:val="en-ZA"/>
        </w:rPr>
        <w:t xml:space="preserve">. 36 vols. Berlin; New York, N.Y.: de Gruyter, 1977--1988.</w:t>
      </w:r>
      <w:r>
        <w:rPr>
          <w:rFonts w:ascii="Gentium" w:hAnsi="Gentium" w:cs="Gentium"/>
        </w:rPr>
      </w:r>
      <w:r>
        <w:rPr>
          <w:rFonts w:ascii="Gentium" w:hAnsi="Gentium" w:cs="Gentium"/>
        </w:rPr>
      </w:r>
    </w:p>
    <w:p>
      <w:pPr>
        <w:pStyle w:val="1016"/>
        <w:pBdr/>
        <w:spacing w:after="0" w:afterAutospacing="0" w:before="0" w:beforeAutospacing="0"/>
        <w:ind w:right="0" w:firstLine="0" w:left="680"/>
        <w:jc w:val="both"/>
        <w:rPr>
          <w:rFonts w:ascii="Gentium" w:hAnsi="Gentium" w:cs="Gentium"/>
        </w:rPr>
      </w:pPr>
      <w:r>
        <w:rPr>
          <w:rFonts w:ascii="Gentium" w:hAnsi="Gentium" w:eastAsia="Gentium" w:cs="Gentium"/>
          <w:lang w:val="en-ZA"/>
        </w:rPr>
        <w:t xml:space="preserve">A massively comprehensive and wide-ranging encyclopedia of theological research covering topic</w:t>
      </w:r>
      <w:r>
        <w:rPr>
          <w:rFonts w:ascii="Gentium" w:hAnsi="Gentium" w:eastAsia="Gentium" w:cs="Gentium"/>
          <w:lang w:val="en-ZA"/>
        </w:rPr>
        <w:t xml:space="preserve">s from antiquity to the present as well as entries relating to cognate disciplines, including other religions. It also contains detailed entries on early Christianity, its context, authors and literature, figures, historical events and groups, and rituals.</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0"/>
        <w:pBdr/>
        <w:spacing/>
        <w:ind/>
        <w:rPr>
          <w:rFonts w:ascii="Gentium" w:hAnsi="Gentium" w:cs="Gentium"/>
        </w:rPr>
      </w:pPr>
      <w:r/>
      <w:bookmarkStart w:id="5" w:name="_Toc414386048"/>
      <w:r>
        <w:rPr>
          <w:rFonts w:ascii="Gentium" w:hAnsi="Gentium" w:eastAsia="Gentium" w:cs="Gentium"/>
        </w:rPr>
        <w:t xml:space="preserve">S</w:t>
      </w:r>
      <w:r>
        <w:rPr>
          <w:rFonts w:ascii="Gentium" w:hAnsi="Gentium" w:eastAsia="Gentium" w:cs="Gentium"/>
          <w:lang w:val="en-US"/>
        </w:rPr>
        <w:t xml:space="preserve">urveys of scholarship</w:t>
      </w:r>
      <w:bookmarkEnd w:id="5"/>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rPr>
        <w:t xml:space="preserve">The most important resource for surveys of scholarship on aspects of early Christianity is the multi-volumed </w:t>
      </w:r>
      <w:r>
        <w:rPr>
          <w:rFonts w:ascii="Gentium" w:hAnsi="Gentium" w:eastAsia="Gentium" w:cs="Gentium"/>
          <w:i/>
        </w:rPr>
        <w:t xml:space="preserve">Aufstieg und Niedergang der römischen Welt</w:t>
      </w:r>
      <w:r>
        <w:rPr>
          <w:rFonts w:ascii="Gentium" w:hAnsi="Gentium" w:eastAsia="Gentium" w:cs="Gentium"/>
        </w:rPr>
        <w:t xml:space="preserve">, a compendious multilingual collection of material on the Roman world, published since 1972 (Part I) and 1974 (Part II), and still not</w:t>
      </w:r>
      <w:r>
        <w:rPr>
          <w:rFonts w:ascii="Gentium" w:hAnsi="Gentium" w:eastAsia="Gentium" w:cs="Gentium"/>
        </w:rPr>
        <w:t xml:space="preserve"> completed (articles in English, German, French, and Italian; a Part III, on Late Antiquity/Spätantike is still in planning). The volumes concerned with early Christianity are II.23.1 to II.27.4, with some volumes still in preparation. The early Christiani</w:t>
      </w:r>
      <w:r>
        <w:rPr>
          <w:rFonts w:ascii="Gentium" w:hAnsi="Gentium" w:eastAsia="Gentium" w:cs="Gentium"/>
        </w:rPr>
        <w:t xml:space="preserve">ty volumes deal with pre-Constantinian Christianity (vorkonstantinisches Christentum), and apart from numerous articles on early Christian literature and early Christian groups, some volumes deal specifically with the relation between early Christianity an</w:t>
      </w:r>
      <w:r>
        <w:rPr>
          <w:rFonts w:ascii="Gentium" w:hAnsi="Gentium" w:eastAsia="Gentium" w:cs="Gentium"/>
        </w:rPr>
        <w:t xml:space="preserve">d the Roman Empire and Graeco-Roman religions. Most of the current volumes on Christianity stem from the early 1980s to early 1990s, consequently may in some respects be now dated, but for surveys of scholarship over the past century are still unsurpassed.</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37"/>
        <w:pBdr/>
        <w:spacing w:after="0" w:before="0" w:line="240" w:lineRule="auto"/>
        <w:ind w:hanging="720" w:left="720"/>
        <w:jc w:val="both"/>
        <w:rPr>
          <w:rFonts w:ascii="Gentium" w:hAnsi="Gentium" w:cs="Gentium"/>
          <w:sz w:val="24"/>
          <w:szCs w:val="24"/>
        </w:rPr>
      </w:pPr>
      <w:r>
        <w:rPr>
          <w:rFonts w:ascii="Gentium" w:hAnsi="Gentium" w:eastAsia="Gentium" w:cs="Gentium"/>
          <w:sz w:val="24"/>
          <w:szCs w:val="24"/>
          <w:lang w:val="de-DE" w:eastAsia="en-ZA"/>
        </w:rPr>
        <w:t xml:space="preserve">Temporini, Hildegard, Wolfgang Haase, eds. Aufstieg und Niedergang der römischen Welt (ANRW) / Rise and Decline of the Roman World. Geschichte und Kultur Roms im Spiegel der neueren Forschung. Berlin; New York, N.Y.: de Gruyter, 1972— </w:t>
      </w:r>
      <w:r>
        <w:rPr>
          <w:rFonts w:ascii="Gentium" w:hAnsi="Gentium" w:cs="Gentium"/>
          <w:sz w:val="24"/>
          <w:szCs w:val="24"/>
        </w:rPr>
      </w:r>
      <w:r>
        <w:rPr>
          <w:rFonts w:ascii="Gentium" w:hAnsi="Gentium" w:cs="Gentium"/>
          <w:sz w:val="24"/>
          <w:szCs w:val="24"/>
        </w:rPr>
      </w:r>
    </w:p>
    <w:p>
      <w:pPr>
        <w:pStyle w:val="937"/>
        <w:pBdr/>
        <w:spacing w:after="0" w:before="0" w:line="240" w:lineRule="auto"/>
        <w:ind w:left="680"/>
        <w:jc w:val="both"/>
        <w:rPr>
          <w:rFonts w:ascii="Gentium" w:hAnsi="Gentium" w:cs="Gentium"/>
          <w:bCs/>
          <w:sz w:val="24"/>
          <w:szCs w:val="24"/>
        </w:rPr>
      </w:pPr>
      <w:r>
        <w:rPr>
          <w:rFonts w:ascii="Gentium" w:hAnsi="Gentium" w:eastAsia="Gentium" w:cs="Gentium"/>
          <w:sz w:val="24"/>
          <w:szCs w:val="24"/>
          <w:lang w:val="de-DE"/>
        </w:rPr>
        <w:t xml:space="preserve">Available online: </w:t>
      </w:r>
      <w:hyperlink r:id="rId19" w:tooltip="http://www.degruyter.com/" w:history="1">
        <w:r>
          <w:rPr>
            <w:rStyle w:val="976"/>
            <w:rFonts w:ascii="Gentium" w:hAnsi="Gentium" w:eastAsia="Gentium" w:cs="Gentium"/>
            <w:sz w:val="24"/>
            <w:szCs w:val="24"/>
            <w:lang w:val="de-DE"/>
          </w:rPr>
          <w:t xml:space="preserve">http://www.degruyter.com/</w:t>
        </w:r>
      </w:hyperlink>
      <w:r>
        <w:rPr>
          <w:rFonts w:ascii="Gentium" w:hAnsi="Gentium" w:eastAsia="Gentium" w:cs="Gentium"/>
          <w:sz w:val="24"/>
          <w:szCs w:val="24"/>
          <w:lang w:val="de-DE"/>
        </w:rPr>
        <w:t xml:space="preserve">view/serial/ 16624?rskey= 4Ux3b6&amp;result=1&amp;q=aufstieg%20und%20niedergang. </w:t>
      </w:r>
      <w:r>
        <w:rPr>
          <w:rFonts w:ascii="Gentium" w:hAnsi="Gentium" w:eastAsia="Gentium" w:cs="Gentium"/>
          <w:sz w:val="24"/>
          <w:szCs w:val="24"/>
        </w:rPr>
        <w:t xml:space="preserve">Up-to-date, searchable online contents pages have been prepared by the Institute for the Classical Tradition, Boston University, and can be found at </w:t>
      </w:r>
      <w:hyperlink r:id="rId20" w:tooltip="http://www.bu.edu/ict/anrw/pub/index.html" w:history="1">
        <w:r>
          <w:rPr>
            <w:rStyle w:val="976"/>
            <w:rFonts w:ascii="Gentium" w:hAnsi="Gentium" w:eastAsia="Gentium" w:cs="Gentium"/>
            <w:sz w:val="24"/>
            <w:szCs w:val="24"/>
          </w:rPr>
          <w:t xml:space="preserve">http://www.bu.edu/ict/anrw/pub/index.html</w:t>
        </w:r>
      </w:hyperlink>
      <w:r>
        <w:rPr>
          <w:rFonts w:ascii="Gentium" w:hAnsi="Gentium" w:eastAsia="Gentium" w:cs="Gentium"/>
          <w:sz w:val="24"/>
          <w:szCs w:val="24"/>
        </w:rPr>
        <w:t xml:space="preserve">. Man</w:t>
      </w:r>
      <w:r>
        <w:rPr>
          <w:rFonts w:ascii="Gentium" w:hAnsi="Gentium" w:eastAsia="Gentium" w:cs="Gentium"/>
          <w:sz w:val="24"/>
          <w:szCs w:val="24"/>
        </w:rPr>
        <w:t xml:space="preserve">y articles deal with specific early Christian literary works. However, of special relevance here are those essays that cover the relationship of early Christianity with the Roman Empire and the Graeco-Roman religious context (volumes 23.1; 23.2); formation</w:t>
      </w:r>
      <w:r>
        <w:rPr>
          <w:rFonts w:ascii="Gentium" w:hAnsi="Gentium" w:eastAsia="Gentium" w:cs="Gentium"/>
          <w:sz w:val="24"/>
          <w:szCs w:val="24"/>
        </w:rPr>
        <w:t xml:space="preserve"> of early Christian literary corpuses (volume 26.1); intersections with Graeco-Roman philosophy (volume 26.1); developments of social formations, organization, and authority structures (volume 26.2); and aspects of Jewish-Christian relations (volume 26.3).</w:t>
      </w:r>
      <w:r>
        <w:rPr>
          <w:rFonts w:ascii="Gentium" w:hAnsi="Gentium" w:cs="Gentium"/>
          <w:bCs/>
          <w:sz w:val="24"/>
          <w:szCs w:val="24"/>
        </w:rPr>
      </w:r>
      <w:r>
        <w:rPr>
          <w:rFonts w:ascii="Gentium" w:hAnsi="Gentium" w:cs="Gentium"/>
          <w:bCs/>
          <w:sz w:val="24"/>
          <w:szCs w:val="24"/>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0"/>
        <w:pBdr/>
        <w:spacing/>
        <w:ind/>
        <w:rPr>
          <w:rFonts w:ascii="Gentium" w:hAnsi="Gentium" w:cs="Gentium"/>
        </w:rPr>
      </w:pPr>
      <w:r/>
      <w:bookmarkStart w:id="6" w:name="_Toc414386049"/>
      <w:r>
        <w:rPr>
          <w:rFonts w:ascii="Gentium" w:hAnsi="Gentium" w:eastAsia="Gentium" w:cs="Gentium"/>
        </w:rPr>
        <w:t xml:space="preserve">R</w:t>
      </w:r>
      <w:r>
        <w:rPr>
          <w:rFonts w:ascii="Gentium" w:hAnsi="Gentium" w:eastAsia="Gentium" w:cs="Gentium"/>
          <w:lang w:val="en-US"/>
        </w:rPr>
        <w:t xml:space="preserve">eligio-historical context of early Christianity </w:t>
      </w:r>
      <w:bookmarkEnd w:id="6"/>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rPr>
        <w:t xml:space="preserve">It is almost impossible to gain an adequate overview of the religio-historical context of early Christianity. This is d</w:t>
      </w:r>
      <w:r>
        <w:rPr>
          <w:rFonts w:ascii="Gentium" w:hAnsi="Gentium" w:eastAsia="Gentium" w:cs="Gentium"/>
        </w:rPr>
        <w:t xml:space="preserve">ue to many reasons, some related to definitional issues (disputes regarding the essentialization of concepts like “religion,” and “Christianity, ” whether to include philosophy or ruler cult in the comparison, for instance), some related to the vast amount</w:t>
      </w:r>
      <w:r>
        <w:rPr>
          <w:rFonts w:ascii="Gentium" w:hAnsi="Gentium" w:eastAsia="Gentium" w:cs="Gentium"/>
        </w:rPr>
        <w:t xml:space="preserve"> of data of varied nature (texts which are themselves often rhetorical in nature; material objects – inscriptions, archaeological finds, which add their own interpretive challenges; material culture and practices, which sometimes add an antithetical layer </w:t>
      </w:r>
      <w:r>
        <w:rPr>
          <w:rFonts w:ascii="Gentium" w:hAnsi="Gentium" w:eastAsia="Gentium" w:cs="Gentium"/>
        </w:rPr>
        <w:t xml:space="preserve">of meaning to the textual tradition); some related to theoretical issues (e.g., the vicissitudes of the key concept of syncretism; the broad range of discourse theory and its impact on redescribing Graeco-Roman religious worlds; the tendency to treat diffe</w:t>
      </w:r>
      <w:r>
        <w:rPr>
          <w:rFonts w:ascii="Gentium" w:hAnsi="Gentium" w:eastAsia="Gentium" w:cs="Gentium"/>
        </w:rPr>
        <w:t xml:space="preserve">rent “religions” as discrete entities, as well as the neglect to study religious traditions longitudinally in their diachronic changing shapes). However, even while keeping the caveats in mind, one cannot dispense with overviews of the religious field, but</w:t>
      </w:r>
      <w:r>
        <w:rPr>
          <w:rFonts w:ascii="Gentium" w:hAnsi="Gentium" w:eastAsia="Gentium" w:cs="Gentium"/>
        </w:rPr>
        <w:t xml:space="preserve"> researchers should be careful when consulting works in this field because ideological positions encoded in scholarship often determine the presentation of evidence and conclusions. This is particularly visible in the way Christianity is presented as subsi</w:t>
      </w:r>
      <w:r>
        <w:rPr>
          <w:rFonts w:ascii="Gentium" w:hAnsi="Gentium" w:eastAsia="Gentium" w:cs="Gentium"/>
        </w:rPr>
        <w:t xml:space="preserve">sting in the wider Graeco-Roman religious world as on a continuum with the latter, as one manifestation of a Graeco-Roman cult group (with issues of the comparability of Christianity with its context to the fore), or, on the other hand, the tendency to emp</w:t>
      </w:r>
      <w:r>
        <w:rPr>
          <w:rFonts w:ascii="Gentium" w:hAnsi="Gentium" w:eastAsia="Gentium" w:cs="Gentium"/>
        </w:rPr>
        <w:t xml:space="preserve">hasize the difference between early Christianity and its surrounding context (comparison with the purpose to negate comparability; usually identified with a more theological approach). Some of the general treatments listed above and some of the volumes in </w:t>
      </w:r>
      <w:r>
        <w:rPr>
          <w:rFonts w:ascii="Gentium" w:hAnsi="Gentium" w:eastAsia="Gentium" w:cs="Gentium"/>
          <w:i/>
        </w:rPr>
        <w:t xml:space="preserve">ANRW</w:t>
      </w:r>
      <w:r>
        <w:rPr>
          <w:rFonts w:ascii="Gentium" w:hAnsi="Gentium" w:eastAsia="Gentium" w:cs="Gentium"/>
        </w:rPr>
        <w:t xml:space="preserve"> contain material on the Graeco-Roman religious context of early Christianity, but here reference is made to works specifically focusing on the G</w:t>
      </w:r>
      <w:r>
        <w:rPr>
          <w:rFonts w:ascii="Gentium" w:hAnsi="Gentium" w:eastAsia="Gentium" w:cs="Gentium"/>
        </w:rPr>
        <w:t xml:space="preserve">raeco-Roman religious context. In addition, this presentation is limited to works that relate Graeco-Roman religions to early Christianity and omit reference to the very many works on Greek and Roman religion per se. Due to the importance to understanding </w:t>
      </w:r>
      <w:r>
        <w:rPr>
          <w:rFonts w:ascii="Gentium" w:hAnsi="Gentium" w:eastAsia="Gentium" w:cs="Gentium"/>
        </w:rPr>
        <w:t xml:space="preserve">the emergence of early Christianity, a separate section is devoted to the relation between early Judaism and early Christianity. Finally, a note of caution: one should not neglect paying attention to the many standard and detailed works specifically on Gre</w:t>
      </w:r>
      <w:r>
        <w:rPr>
          <w:rFonts w:ascii="Gentium" w:hAnsi="Gentium" w:eastAsia="Gentium" w:cs="Gentium"/>
        </w:rPr>
        <w:t xml:space="preserve">ek,  Roman, and other religious traditions from antiquity, but read these overviews mentioned below in conjunction with such works, as well as filling in the gaps with study of ancient material culture (archaeological finds and inscriptions, for instance).</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bookmarkStart w:id="7" w:name="_Toc414386050"/>
      <w:r>
        <w:rPr>
          <w:rFonts w:ascii="Gentium" w:hAnsi="Gentium" w:eastAsia="Gentium" w:cs="Gentium"/>
        </w:rPr>
        <w:t xml:space="preserve">Early Christianity and Graeco-Roman Religions and Philosophy</w:t>
      </w:r>
      <w:bookmarkEnd w:id="7"/>
      <w:r>
        <w:rPr>
          <w:rFonts w:ascii="Gentium" w:hAnsi="Gentium" w:eastAsia="Gentium" w:cs="Gentium"/>
        </w:rPr>
        <w:t xml:space="preserve"> </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rPr>
        <w:t xml:space="preserve">While, arguably, most religio-historical studies of early Christianity tend to treat it as a unique, sui generis phenomenon due to a theolo</w:t>
      </w:r>
      <w:r>
        <w:rPr>
          <w:rFonts w:ascii="Gentium" w:hAnsi="Gentium" w:eastAsia="Gentium" w:cs="Gentium"/>
        </w:rPr>
        <w:t xml:space="preserve">gical bias in the discipline, the perspective taken here is one of Christianity/-ies as one distinctive set of Graeco-Roman cult formations and thus stand in interactive-interrelations with other cults formations in the era, as epiphenomal discourses shape</w:t>
      </w:r>
      <w:r>
        <w:rPr>
          <w:rFonts w:ascii="Gentium" w:hAnsi="Gentium" w:eastAsia="Gentium" w:cs="Gentium"/>
        </w:rPr>
        <w:t xml:space="preserve">d in the crucible of the other discourses (social, cultural, political, etc.) of the times. This implies that one should read all of the mentioned sources below in the theoretical frameworks spelled out in some of the other rubrics elsewhere in this essay.</w:t>
      </w:r>
      <w:r>
        <w:rPr>
          <w:rFonts w:ascii="Gentium" w:hAnsi="Gentium" w:cs="Gentium"/>
        </w:rPr>
      </w:r>
      <w:r>
        <w:rPr>
          <w:rFonts w:ascii="Gentium" w:hAnsi="Gentium" w:cs="Gentium"/>
        </w:rPr>
      </w:r>
    </w:p>
    <w:p>
      <w:pPr>
        <w:pStyle w:val="941"/>
        <w:pBdr/>
        <w:spacing/>
        <w:ind/>
        <w:rPr>
          <w:rFonts w:ascii="Gentium" w:hAnsi="Gentium" w:cs="Gentium"/>
        </w:rPr>
      </w:pPr>
      <w:r/>
      <w:bookmarkStart w:id="8" w:name="_Toc414386051"/>
      <w:r>
        <w:rPr>
          <w:rFonts w:ascii="Gentium" w:hAnsi="Gentium" w:eastAsia="Gentium" w:cs="Gentium"/>
        </w:rPr>
        <w:t xml:space="preserve">The general religious context of early Christianity</w:t>
      </w:r>
      <w:bookmarkEnd w:id="8"/>
      <w:r>
        <w:rPr>
          <w:rFonts w:ascii="Gentium" w:hAnsi="Gentium" w:eastAsia="Gentium" w:cs="Gentium"/>
        </w:rPr>
        <w:t xml:space="preserve"> </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rPr>
        <w:t xml:space="preserve">Klauck and Ferguson offer two different but complementary approaches. Klauck focuses solely on Graeco-Roman religions and cults but does so by </w:t>
      </w:r>
      <w:r>
        <w:rPr>
          <w:rFonts w:ascii="Gentium" w:hAnsi="Gentium" w:eastAsia="Gentium" w:cs="Gentium"/>
        </w:rPr>
        <w:t xml:space="preserve">setting his approach in explicit contrast to that of earlier religio-historical scholarship and is structured by a systems-theoretical approach derived from social sciences. Ferguson, on the other hand, is more wide-ranging but also more overtly theologica</w:t>
      </w:r>
      <w:r>
        <w:rPr>
          <w:rFonts w:ascii="Gentium" w:hAnsi="Gentium" w:eastAsia="Gentium" w:cs="Gentium"/>
        </w:rPr>
        <w:t xml:space="preserve">l in orientation, in that the book emphasizes the uniqueness of Christianity as religion (but it still is a balanced treatment). Erlemann et al, eds. provide a more social and cultural context to early Christianity, even though the volumes are offered as “</w:t>
      </w:r>
      <w:r>
        <w:rPr>
          <w:rFonts w:ascii="Gentium" w:hAnsi="Gentium" w:eastAsia="Gentium" w:cs="Gentium"/>
          <w:i/>
        </w:rPr>
        <w:t xml:space="preserve">New Testament</w:t>
      </w:r>
      <w:r>
        <w:rPr>
          <w:rFonts w:ascii="Gentium" w:hAnsi="Gentium" w:eastAsia="Gentium" w:cs="Gentium"/>
        </w:rPr>
        <w:t xml:space="preserve"> and Ancient Culture” and thus limit their intended focus to the canonical literature.</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rPr>
      </w:pPr>
      <w:r>
        <w:rPr>
          <w:rFonts w:ascii="Gentium" w:hAnsi="Gentium" w:eastAsia="Gentium" w:cs="Gentium"/>
          <w:sz w:val="24"/>
        </w:rPr>
        <w:t xml:space="preserve">Klauck, Hans-Josef. </w:t>
      </w:r>
      <w:r>
        <w:rPr>
          <w:rFonts w:ascii="Gentium" w:hAnsi="Gentium" w:eastAsia="Gentium" w:cs="Gentium"/>
          <w:i/>
          <w:iCs/>
          <w:sz w:val="24"/>
        </w:rPr>
        <w:t xml:space="preserve">The Religious Context of Early Christianity. A Guide to Graeco-Roman Religions</w:t>
      </w:r>
      <w:r>
        <w:rPr>
          <w:rFonts w:ascii="Gentium" w:hAnsi="Gentium" w:eastAsia="Gentium" w:cs="Gentium"/>
          <w:sz w:val="24"/>
        </w:rPr>
        <w:t xml:space="preserve">. Translated by Brian McNeil. Edinburgh: T &amp; T Clark, 2000.</w:t>
      </w:r>
      <w:r>
        <w:rPr>
          <w:rFonts w:ascii="Gentium" w:hAnsi="Gentium" w:cs="Gentium"/>
          <w:sz w:val="24"/>
        </w:rPr>
      </w:r>
      <w:r>
        <w:rPr>
          <w:rFonts w:ascii="Gentium" w:hAnsi="Gentium" w:cs="Gentium"/>
          <w:sz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Introduces the study by reference to theoretical issues relating to religio-historical scholarship. Discusses Graeco-Roman religions from the perspective of private cults, mysterie</w:t>
      </w:r>
      <w:r>
        <w:rPr>
          <w:rFonts w:ascii="Gentium" w:hAnsi="Gentium" w:eastAsia="Gentium" w:cs="Gentium"/>
          <w:sz w:val="24"/>
          <w:szCs w:val="24"/>
        </w:rPr>
        <w:t xml:space="preserve">s, divinized humans and ruler cults, popular religiosity, philosophy as life orientation, and Gnosticism as the search for divinization. Includes extensive literature lists for further reference as well as some evaluation of the comparative issues at hand.</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rPr>
      </w:pPr>
      <w:r>
        <w:rPr>
          <w:rFonts w:ascii="Gentium" w:hAnsi="Gentium" w:eastAsia="Gentium" w:cs="Gentium"/>
          <w:sz w:val="24"/>
        </w:rPr>
        <w:t xml:space="preserve">Ferguson, Everett. </w:t>
      </w:r>
      <w:r>
        <w:rPr>
          <w:rFonts w:ascii="Gentium" w:hAnsi="Gentium" w:eastAsia="Gentium" w:cs="Gentium"/>
          <w:i/>
          <w:iCs/>
          <w:sz w:val="24"/>
        </w:rPr>
        <w:t xml:space="preserve">Backgrounds of Early Christianity</w:t>
      </w:r>
      <w:r>
        <w:rPr>
          <w:rFonts w:ascii="Gentium" w:hAnsi="Gentium" w:eastAsia="Gentium" w:cs="Gentium"/>
          <w:sz w:val="24"/>
        </w:rPr>
        <w:t xml:space="preserve">. 3rd ed. Grand Rapids, Mich.: Eerdmans, 2003.</w:t>
      </w:r>
      <w:r>
        <w:rPr>
          <w:rFonts w:ascii="Gentium" w:hAnsi="Gentium" w:cs="Gentium"/>
          <w:sz w:val="24"/>
        </w:rPr>
      </w:r>
      <w:r>
        <w:rPr>
          <w:rFonts w:ascii="Gentium" w:hAnsi="Gentium" w:cs="Gentium"/>
          <w:sz w:val="24"/>
        </w:rPr>
      </w:r>
    </w:p>
    <w:p>
      <w:pPr>
        <w:pStyle w:val="937"/>
        <w:pBdr/>
        <w:tabs>
          <w:tab w:val="clear" w:leader="none" w:pos="432"/>
          <w:tab w:val="left" w:leader="none" w:pos="709"/>
        </w:tabs>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The “Backgrounds” are the political history of the Mediterranean world from Persia to the Roman Empire, plus various aspects of Roman social and cultural life. Then follows ancient Gr</w:t>
      </w:r>
      <w:r>
        <w:rPr>
          <w:rFonts w:ascii="Gentium" w:hAnsi="Gentium" w:eastAsia="Gentium" w:cs="Gentium"/>
          <w:sz w:val="24"/>
          <w:szCs w:val="24"/>
        </w:rPr>
        <w:t xml:space="preserve">eek and Roman religion, personal and civic cults, mysteries and oriental cults, various forms of Gnosticism, and Hellenistic-Roman philosophies. The last sections are devoted to Judaism and Christianity, showing their diversity and developments over time. </w:t>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fldChar w:fldCharType="begin"/>
      </w:r>
      <w:r>
        <w:rPr>
          <w:rFonts w:ascii="Gentium" w:hAnsi="Gentium" w:eastAsia="Gentium" w:cs="Gentium"/>
          <w:sz w:val="24"/>
          <w:szCs w:val="24"/>
          <w:lang w:val="de-DE"/>
        </w:rPr>
        <w:instrText xml:space="preserve">ADDIN ZOTERO_BIBL {"custom":[]} CSL_BIBLIOGRAPHY</w:instrText>
      </w:r>
      <w:r>
        <w:rPr>
          <w:rFonts w:ascii="Gentium" w:hAnsi="Gentium" w:eastAsia="Gentium" w:cs="Gentium"/>
          <w:sz w:val="24"/>
          <w:szCs w:val="24"/>
          <w:lang w:val="de-DE"/>
        </w:rPr>
        <w:fldChar w:fldCharType="separate"/>
      </w:r>
      <w:r>
        <w:fldChar w:fldCharType="begin"/>
      </w:r>
      <w:r>
        <w:rPr>
          <w:rFonts w:ascii="Gentium" w:hAnsi="Gentium" w:eastAsia="Gentium" w:cs="Gentium"/>
          <w:sz w:val="24"/>
          <w:szCs w:val="24"/>
          <w:lang w:val="de-DE"/>
        </w:rPr>
        <w:instrText xml:space="preserve">ADDIN ZOTERO_BIBL {"custom":[]} CSL_BIBLIOGRAPHY</w:instrText>
      </w:r>
      <w:r>
        <w:rPr>
          <w:rFonts w:ascii="Gentium" w:hAnsi="Gentium" w:eastAsia="Gentium" w:cs="Gentium"/>
          <w:sz w:val="24"/>
          <w:szCs w:val="24"/>
          <w:lang w:val="de-DE"/>
        </w:rPr>
        <w:fldChar w:fldCharType="separate"/>
      </w:r>
      <w:r>
        <w:rPr>
          <w:rFonts w:ascii="Gentium" w:hAnsi="Gentium" w:eastAsia="Gentium" w:cs="Gentium"/>
          <w:sz w:val="24"/>
          <w:szCs w:val="24"/>
          <w:lang w:val="de-DE"/>
        </w:rPr>
        <w:t xml:space="preserve">Erlemann, Kurt, Karl Leo Noethlichs, Klaus Scherberich, and Jürgen Zangenberg, eds. </w:t>
      </w:r>
      <w:r>
        <w:rPr>
          <w:rFonts w:ascii="Gentium" w:hAnsi="Gentium" w:eastAsia="Gentium" w:cs="Gentium"/>
          <w:i/>
          <w:iCs/>
          <w:sz w:val="24"/>
          <w:szCs w:val="24"/>
          <w:lang w:val="de-DE"/>
        </w:rPr>
        <w:t xml:space="preserve">Neues Testament und Antike Kultur</w:t>
      </w:r>
      <w:r>
        <w:rPr>
          <w:rFonts w:ascii="Gentium" w:hAnsi="Gentium" w:eastAsia="Gentium" w:cs="Gentium"/>
          <w:sz w:val="24"/>
          <w:szCs w:val="24"/>
          <w:lang w:val="de-DE"/>
        </w:rPr>
        <w:t xml:space="preserve">. 5 vols. Neukirchen-Vluyn: Neukirchener Verlag, 2004.</w:t>
      </w:r>
      <w:r>
        <w:rPr>
          <w:rFonts w:ascii="Gentium" w:hAnsi="Gentium" w:cs="Gentium"/>
          <w:sz w:val="24"/>
          <w:szCs w:val="24"/>
        </w:rPr>
      </w:r>
      <w:r>
        <w:rPr>
          <w:rFonts w:ascii="Gentium" w:hAnsi="Gentium" w:cs="Gentium"/>
          <w:sz w:val="24"/>
          <w:szCs w:val="24"/>
        </w:rPr>
      </w:r>
    </w:p>
    <w:p>
      <w:pPr>
        <w:pStyle w:val="1017"/>
        <w:pBdr/>
        <w:spacing/>
        <w:ind w:right="0" w:hanging="11" w:left="720"/>
        <w:jc w:val="both"/>
        <w:rPr>
          <w:rFonts w:ascii="Gentium" w:hAnsi="Gentium" w:cs="Gentium"/>
          <w:sz w:val="24"/>
          <w:szCs w:val="24"/>
        </w:rPr>
      </w:pPr>
      <w:r>
        <w:rPr>
          <w:rFonts w:ascii="Gentium" w:hAnsi="Gentium" w:eastAsia="Gentium" w:cs="Gentium"/>
          <w:sz w:val="24"/>
          <w:szCs w:val="24"/>
          <w:lang w:val="de-DE"/>
        </w:rPr>
      </w:r>
      <w:r>
        <w:rPr>
          <w:rFonts w:ascii="Gentium" w:hAnsi="Gentium" w:eastAsia="Gentium" w:cs="Gentium"/>
          <w:sz w:val="24"/>
          <w:szCs w:val="24"/>
          <w:lang w:val="de-DE"/>
        </w:rPr>
        <w:fldChar w:fldCharType="end"/>
      </w:r>
      <w:r>
        <w:rPr>
          <w:rFonts w:ascii="Gentium" w:hAnsi="Gentium" w:eastAsia="Gentium" w:cs="Gentium"/>
          <w:sz w:val="24"/>
          <w:szCs w:val="24"/>
          <w:lang w:val="de-DE"/>
        </w:rPr>
        <w:fldChar w:fldCharType="end"/>
      </w:r>
      <w:r>
        <w:rPr>
          <w:rFonts w:ascii="Gentium" w:hAnsi="Gentium" w:eastAsia="Gentium" w:cs="Gentium"/>
          <w:sz w:val="24"/>
          <w:szCs w:val="24"/>
          <w:lang w:val="en-ZA"/>
        </w:rPr>
        <w:t xml:space="preserve">Volume 1 deals with theory and sources for early Christian history, as well as historical contexts, transformations of Judaism in the course of the fir</w:t>
      </w:r>
      <w:r>
        <w:rPr>
          <w:rFonts w:ascii="Gentium" w:hAnsi="Gentium" w:eastAsia="Gentium" w:cs="Gentium"/>
          <w:sz w:val="24"/>
          <w:szCs w:val="24"/>
          <w:lang w:val="en-ZA"/>
        </w:rPr>
        <w:t xml:space="preserve">st two centuries, Diaspora Judaism. Volume 2 contains material on families, cities, ancient economy, and education. Volume 3 describes worldviews, religion and piety. Volume 4 contains maps, and volume 5 contains selections of ancient texts in translation.</w:t>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right="0" w:firstLine="0"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bookmarkStart w:id="9" w:name="_Toc414386052"/>
      <w:r>
        <w:rPr>
          <w:rFonts w:ascii="Gentium" w:hAnsi="Gentium" w:eastAsia="Gentium" w:cs="Gentium"/>
          <w:lang w:val="en-ZA"/>
        </w:rPr>
        <w:t xml:space="preserve">Early Christianity and Graeco-Roman philosophies</w:t>
      </w:r>
      <w:bookmarkEnd w:id="9"/>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Malherbe has become a classic sourcebook for comparison between Graeco-Roman philosophers and early Christian moral instruction.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Downing’s work has become standard for understanding the radical world-renunciation of the Jesus movement in the context of Cynic philosophy.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t xml:space="preserve">Rasimus, Engberg-Pedersen, and Dunderberg, eds. provide an extensive overview of Stoic philosophy as most important philosophical school of the first two centuries of the Christian era and its impact on and presence in early Christian literature.</w:t>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Malherbe, Abraham J. </w:t>
      </w:r>
      <w:r>
        <w:rPr>
          <w:rFonts w:ascii="Gentium" w:hAnsi="Gentium" w:eastAsia="Gentium" w:cs="Gentium"/>
          <w:i/>
          <w:iCs/>
        </w:rPr>
        <w:t xml:space="preserve">Moral Exhortation: A Greco-Roman Sourcebook</w:t>
      </w:r>
      <w:r>
        <w:rPr>
          <w:rFonts w:ascii="Gentium" w:hAnsi="Gentium" w:eastAsia="Gentium" w:cs="Gentium"/>
        </w:rPr>
        <w:t xml:space="preserve">. Vol. 4. Library of Early Christianity. Philadelphia, Pa.: Westminster John Knox Press, 1989.</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Contains translations from selected Graeco-Roman philosophers on topics that relate to moral formation but also suggests ways in which early Ch</w:t>
      </w:r>
      <w:r>
        <w:rPr>
          <w:rFonts w:ascii="Gentium" w:hAnsi="Gentium" w:eastAsia="Gentium" w:cs="Gentium"/>
        </w:rPr>
        <w:t xml:space="preserve">ristian writers were both indebted to philosophical thinking of the times, as well as how early Christian writers responded to their context. In this sense early Christianity contributed to the mix of philosophical viewpoints obtaining in the Roman Empire.</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Downing, F. Gerald. </w:t>
      </w:r>
      <w:r>
        <w:rPr>
          <w:rFonts w:ascii="Gentium" w:hAnsi="Gentium" w:eastAsia="Gentium" w:cs="Gentium"/>
          <w:i/>
          <w:iCs/>
          <w:sz w:val="24"/>
          <w:szCs w:val="24"/>
        </w:rPr>
        <w:t xml:space="preserve">Cynics and Christian Origins</w:t>
      </w:r>
      <w:r>
        <w:rPr>
          <w:rFonts w:ascii="Gentium" w:hAnsi="Gentium" w:eastAsia="Gentium" w:cs="Gentium"/>
          <w:sz w:val="24"/>
          <w:szCs w:val="24"/>
        </w:rPr>
        <w:t xml:space="preserve">. Edinburgh: T &amp; T Clark, 1992.</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Downing describes Cynicism as a philosophy in the context of the Roman Empire with a social description of the classes of adherents o</w:t>
      </w:r>
      <w:r>
        <w:rPr>
          <w:rFonts w:ascii="Gentium" w:hAnsi="Gentium" w:eastAsia="Gentium" w:cs="Gentium"/>
          <w:sz w:val="24"/>
          <w:szCs w:val="24"/>
        </w:rPr>
        <w:t xml:space="preserve">f Cynic philosophy. He sketches the Cynic features of the earliest Jesus movement and traditions, followed by the Cynic legacy in early Christianity. According to Downing early Christianity looked like ‘and was a variant of popular and pervasive Cynicism.’</w:t>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Rasimus, Tuomas, Troels Engberg-Pedersen, and Ismo Dunderberg, eds. </w:t>
      </w:r>
      <w:r>
        <w:rPr>
          <w:rFonts w:ascii="Gentium" w:hAnsi="Gentium" w:eastAsia="Gentium" w:cs="Gentium"/>
          <w:i/>
          <w:iCs/>
          <w:sz w:val="24"/>
          <w:szCs w:val="24"/>
        </w:rPr>
        <w:t xml:space="preserve">Stoicism in Early Christianity</w:t>
      </w:r>
      <w:r>
        <w:rPr>
          <w:rFonts w:ascii="Gentium" w:hAnsi="Gentium" w:eastAsia="Gentium" w:cs="Gentium"/>
          <w:sz w:val="24"/>
          <w:szCs w:val="24"/>
        </w:rPr>
        <w:t xml:space="preserve">. Grand Rapids, Mich.: Baker Academic, 2010.</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Introduction describes the period 100 B.C.E. to 200 C.E. as a transitional period in ancient philosophy characterized by flexible relationships be</w:t>
      </w:r>
      <w:r>
        <w:rPr>
          <w:rFonts w:ascii="Gentium" w:hAnsi="Gentium" w:eastAsia="Gentium" w:cs="Gentium"/>
          <w:sz w:val="24"/>
          <w:szCs w:val="24"/>
        </w:rPr>
        <w:t xml:space="preserve">tween the main philosophical schools but, for the period, with Stoicism dominating. Various essays track the interrelationship between Stoic philosophy and early Christian writings from the canonical New Testament to later Christian and Gnostic literature.</w:t>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41"/>
        <w:pBdr/>
        <w:spacing/>
        <w:ind/>
        <w:rPr>
          <w:rFonts w:ascii="Gentium" w:hAnsi="Gentium" w:cs="Gentium"/>
        </w:rPr>
      </w:pPr>
      <w:r/>
      <w:bookmarkStart w:id="10" w:name="_Toc414386053"/>
      <w:r>
        <w:rPr>
          <w:rFonts w:ascii="Gentium" w:hAnsi="Gentium" w:eastAsia="Gentium" w:cs="Gentium"/>
        </w:rPr>
        <w:t xml:space="preserve">Christianity and Graeco-Roman religions: comparisons and interactions</w:t>
      </w:r>
      <w:bookmarkEnd w:id="10"/>
      <w:r>
        <w:rPr>
          <w:rFonts w:ascii="Gentium" w:hAnsi="Gentium" w:cs="Gentium"/>
        </w:rPr>
      </w:r>
      <w:r>
        <w:rPr>
          <w:rFonts w:ascii="Gentium" w:hAnsi="Gentium" w:cs="Gentium"/>
        </w:rPr>
      </w:r>
    </w:p>
    <w:p>
      <w:pPr>
        <w:pStyle w:val="937"/>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Limberis and Benko treat an important facet of later developments in early Christi</w:t>
      </w:r>
      <w:r>
        <w:rPr>
          <w:rFonts w:ascii="Gentium" w:hAnsi="Gentium" w:eastAsia="Gentium" w:cs="Gentium"/>
        </w:rPr>
        <w:t xml:space="preserve">anity, namely the rise of the cult of the Virgin Mary as divine figure, both relating the cultic veneration of the Virgin and the formation of a Christian divine Mother image to vestiges of Graeco-Roman traditions of divine female figures in Christianity.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In a book that has become a classic, Lane Fox, describes the religious context of cult an</w:t>
      </w:r>
      <w:r>
        <w:rPr>
          <w:rFonts w:ascii="Gentium" w:hAnsi="Gentium" w:eastAsia="Gentium" w:cs="Gentium"/>
        </w:rPr>
        <w:t xml:space="preserve">d divine mediation defining the Mediterranean world in which Christianity emerged, but also how distinctive Christian ways of mediating the divine together with distinctive Christian practices and organizational forms helped define formative Christianity.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Macmullen provides a detailed overview of the difficult and drawn-out process of Christianizing the Roman Empire, but also shows how the old customs and cultures lived on in a Christian world.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Macmullen and Lane is a sourcebook illustrating the intertwined nature of the relationship between the newly emerging Christianity and its surrounding social context and religious cultures.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As a counterpoint, Wilken provides a perspective on early Christianity as it appeared to leading non-Christian intellectuals of the day from which one gains a fuller insight into the organization and discourse practiced by early Christian cult groups.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t xml:space="preserve">Vaage, ed., is part of a series of geographically focused studies of religious interactions i</w:t>
      </w:r>
      <w:r>
        <w:rPr>
          <w:rFonts w:ascii="Gentium" w:hAnsi="Gentium" w:eastAsia="Gentium" w:cs="Gentium"/>
        </w:rPr>
        <w:t xml:space="preserve">n Graeco-Roman antiquity, this being a final volume of synthesis on religious rivalries and competition in the wider context of the Roman Empire around the time of the rise of Christianity (other volumes were on North Africa, Caesarea Maritima, and Sardis </w:t>
      </w:r>
      <w:r>
        <w:rPr>
          <w:rFonts w:ascii="Gentium" w:hAnsi="Gentium" w:eastAsia="Gentium" w:cs="Gentium"/>
        </w:rPr>
        <w:t xml:space="preserve">and Smyrna). It is different in scope from the other works referred to in this section in that it explicitly focuses on the contentious process of making religion in antiquity, setting this in the material context of urban environments in the Roman Empire.</w:t>
      </w:r>
      <w:r>
        <w:rPr>
          <w:rFonts w:ascii="Gentium" w:hAnsi="Gentium" w:eastAsia="Gentium" w:cs="Gentium"/>
          <w:highlight w:val="none"/>
        </w:rPr>
      </w:r>
      <w:r>
        <w:rPr>
          <w:rFonts w:ascii="Gentium" w:hAnsi="Gentium" w:eastAsia="Gentium" w:cs="Gentium"/>
          <w:highlight w:val="none"/>
        </w:rPr>
      </w:r>
    </w:p>
    <w:p>
      <w:pPr>
        <w:pStyle w:val="937"/>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eastAsia="Gentium" w:cs="Gentium"/>
          <w:sz w:val="24"/>
          <w:szCs w:val="24"/>
        </w:rPr>
        <w:t xml:space="preserve">Limberis, Vasiliki. </w:t>
      </w:r>
      <w:r>
        <w:rPr>
          <w:rFonts w:ascii="Gentium" w:hAnsi="Gentium" w:eastAsia="Gentium" w:cs="Gentium"/>
          <w:i/>
          <w:iCs/>
          <w:sz w:val="24"/>
          <w:szCs w:val="24"/>
        </w:rPr>
        <w:t xml:space="preserve">Divine Heiress: The Virgin Mary and the Making of Christian Constantinople</w:t>
      </w:r>
      <w:r>
        <w:rPr>
          <w:rFonts w:ascii="Gentium" w:hAnsi="Gentium" w:eastAsia="Gentium" w:cs="Gentium"/>
          <w:sz w:val="24"/>
          <w:szCs w:val="24"/>
        </w:rPr>
        <w:t xml:space="preserve">. London; New York, N.Y.: Routledge, 1994.</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Examines the rise of the cult of the Virgin Mary as divine protectress of Constantinople and of the later Christian Empire in general, set in the religious context of the Mediterranean world</w:t>
      </w:r>
      <w:r>
        <w:rPr>
          <w:rFonts w:ascii="Gentium" w:hAnsi="Gentium" w:eastAsia="Gentium" w:cs="Gentium"/>
          <w:color w:val="333333"/>
          <w:sz w:val="24"/>
          <w:szCs w:val="24"/>
          <w:shd w:val="clear" w:color="auto" w:fill="ffffff"/>
        </w:rPr>
        <w:t xml:space="preserve">. </w:t>
      </w:r>
      <w:r>
        <w:rPr>
          <w:rFonts w:ascii="Gentium" w:hAnsi="Gentium" w:eastAsia="Gentium" w:cs="Gentium"/>
          <w:sz w:val="24"/>
          <w:szCs w:val="24"/>
          <w:shd w:val="clear" w:color="auto" w:fill="ffffff"/>
        </w:rPr>
        <w:t xml:space="preserve">Limberis demonstrates the afterlife of traditions, myths, and images of Graeco-Roman female deities like Demeter/Persephone, Isis, Hecate and Athena in the making of this significant feature of the later stages of formative Christianity.</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Benko, Stephen. </w:t>
      </w:r>
      <w:r>
        <w:rPr>
          <w:rFonts w:ascii="Gentium" w:hAnsi="Gentium" w:eastAsia="Gentium" w:cs="Gentium"/>
          <w:i/>
          <w:iCs/>
          <w:sz w:val="24"/>
          <w:szCs w:val="24"/>
        </w:rPr>
        <w:t xml:space="preserve">The Virgin Goddess: Studies in the Pagan and Christian Roots of Mariology</w:t>
      </w:r>
      <w:r>
        <w:rPr>
          <w:rFonts w:ascii="Gentium" w:hAnsi="Gentium" w:eastAsia="Gentium" w:cs="Gentium"/>
          <w:sz w:val="24"/>
          <w:szCs w:val="24"/>
        </w:rPr>
        <w:t xml:space="preserve">. Vol. 59. Studies in the History of Religions. Leiden; New York, N.Y.: Brill, 1993.</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Traces the rise of the cult of the Virgin Mary or Mariology in early Christianity as well as how the cult encodes cultic traditions of female deities in the Graeco-Roman world, especially </w:t>
      </w:r>
      <w:r>
        <w:rPr>
          <w:rFonts w:ascii="Gentium" w:hAnsi="Gentium" w:eastAsia="Gentium" w:cs="Gentium"/>
          <w:sz w:val="24"/>
          <w:szCs w:val="24"/>
          <w:lang w:val="en-ZA" w:eastAsia="en-ZA"/>
        </w:rPr>
        <w:t xml:space="preserve">Caelestis, Isis, the Syrian Goddess, and Cybele (plus the cult of Dionysus as a cult closely related to that of the Great Mother). </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Lane Fox, Robin. </w:t>
      </w:r>
      <w:r>
        <w:rPr>
          <w:rFonts w:ascii="Gentium" w:hAnsi="Gentium" w:eastAsia="Gentium" w:cs="Gentium"/>
          <w:i/>
          <w:iCs/>
          <w:sz w:val="24"/>
          <w:szCs w:val="24"/>
        </w:rPr>
        <w:t xml:space="preserve">Pagans and Christians: In the Mediterranean World from the Second Century AD to the Conversion of Constantine</w:t>
      </w:r>
      <w:r>
        <w:rPr>
          <w:rFonts w:ascii="Gentium" w:hAnsi="Gentium" w:eastAsia="Gentium" w:cs="Gentium"/>
          <w:sz w:val="24"/>
          <w:szCs w:val="24"/>
        </w:rPr>
        <w:t xml:space="preserve">. London: Viking, 1986.</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Lane Fox highlights the shared cultural world in which Christianity and ‘paganism’  subsisted. He draws the contours of the religious world obtaining in the Mediterranean world as well as the rise of Christianit</w:t>
      </w:r>
      <w:r>
        <w:rPr>
          <w:rFonts w:ascii="Gentium" w:hAnsi="Gentium" w:eastAsia="Gentium" w:cs="Gentium"/>
          <w:sz w:val="24"/>
          <w:szCs w:val="24"/>
        </w:rPr>
        <w:t xml:space="preserve">y in the Graeco-Roman world with respect to the new distinctive lifestyle, new systems and technologies of divine mediation, the effects of martyrdom and the construction of authorities and institutions. Concludes with the transition to a Christian Empire.</w:t>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MacMullen, Ramsay. </w:t>
      </w:r>
      <w:r>
        <w:rPr>
          <w:rFonts w:ascii="Gentium" w:hAnsi="Gentium" w:eastAsia="Gentium" w:cs="Gentium"/>
          <w:i/>
          <w:iCs/>
          <w:sz w:val="24"/>
          <w:szCs w:val="24"/>
        </w:rPr>
        <w:t xml:space="preserve">Christianity and Paganism in the Fourth to Eighth Centuries</w:t>
      </w:r>
      <w:r>
        <w:rPr>
          <w:rFonts w:ascii="Gentium" w:hAnsi="Gentium" w:eastAsia="Gentium" w:cs="Gentium"/>
          <w:sz w:val="24"/>
          <w:szCs w:val="24"/>
        </w:rPr>
        <w:t xml:space="preserve">. New Haven, Conn.; London: Yale University Press, 1997.</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Provides evidence of the transition to Christian culture taking longer than normally conceived, and that many traditions and c</w:t>
      </w:r>
      <w:r>
        <w:rPr>
          <w:rFonts w:ascii="Gentium" w:hAnsi="Gentium" w:eastAsia="Gentium" w:cs="Gentium"/>
          <w:sz w:val="24"/>
          <w:szCs w:val="24"/>
        </w:rPr>
        <w:t xml:space="preserve">ultural customs from the ‘pagan’ Graeco-Roman world persisted within the newly emerged Christian world. Describes many of the practices that survived into Christianity as well as the complex and often conflictual process of Christianising the Roman Empire.</w:t>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MacMullen, Ramsay, and Eugene Lane, eds. </w:t>
      </w:r>
      <w:r>
        <w:rPr>
          <w:rFonts w:ascii="Gentium" w:hAnsi="Gentium" w:eastAsia="Gentium" w:cs="Gentium"/>
          <w:i/>
          <w:iCs/>
          <w:sz w:val="24"/>
          <w:szCs w:val="24"/>
        </w:rPr>
        <w:t xml:space="preserve">Paganism and Christianity, 100-425 C.E.: A Sourcebook</w:t>
      </w:r>
      <w:r>
        <w:rPr>
          <w:rFonts w:ascii="Gentium" w:hAnsi="Gentium" w:eastAsia="Gentium" w:cs="Gentium"/>
          <w:sz w:val="24"/>
          <w:szCs w:val="24"/>
        </w:rPr>
        <w:t xml:space="preserve">. Minneapolis, Minn.: Fortress Press, 1992.</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Selected documents from Christian and non-Christian s</w:t>
      </w:r>
      <w:r>
        <w:rPr>
          <w:rFonts w:ascii="Gentium" w:hAnsi="Gentium" w:eastAsia="Gentium" w:cs="Gentium"/>
          <w:sz w:val="24"/>
          <w:szCs w:val="24"/>
        </w:rPr>
        <w:t xml:space="preserve">ources that illustrate topics and themes related to the complex world of lived religion and social context in the period in which Christianity originated and showing the intertwinedness of Christianity in its formative phases with the surrounding cultures.</w:t>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Wilken, Robert Louis. </w:t>
      </w:r>
      <w:r>
        <w:rPr>
          <w:rFonts w:ascii="Gentium" w:hAnsi="Gentium" w:eastAsia="Gentium" w:cs="Gentium"/>
          <w:i/>
          <w:iCs/>
          <w:sz w:val="24"/>
          <w:szCs w:val="24"/>
        </w:rPr>
        <w:t xml:space="preserve">The Christians as the Romans Saw Them</w:t>
      </w:r>
      <w:r>
        <w:rPr>
          <w:rFonts w:ascii="Gentium" w:hAnsi="Gentium" w:eastAsia="Gentium" w:cs="Gentium"/>
          <w:sz w:val="24"/>
          <w:szCs w:val="24"/>
        </w:rPr>
        <w:t xml:space="preserve">. 2nd ed. New Haven, Conn.; London: Yale University Press, 2003.</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Depiction of early Christianity from the perspective of learned Greek and Roman critics of the new religion: Pliny, Galen, Celsus, P</w:t>
      </w:r>
      <w:r>
        <w:rPr>
          <w:rFonts w:ascii="Gentium" w:hAnsi="Gentium" w:eastAsia="Gentium" w:cs="Gentium"/>
          <w:sz w:val="24"/>
          <w:szCs w:val="24"/>
        </w:rPr>
        <w:t xml:space="preserve">orphyry, and the emperor Julian. In the eyes of the public early Christianity appeared as an association, philosophical school, burial society, as off-shoot from Judaism, as well as a despised ‘tribal religion’ with questionable origins and strange morals.</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eastAsia="Gentium" w:cs="Gentium"/>
          <w:sz w:val="24"/>
          <w:szCs w:val="24"/>
          <w:lang w:val="en-ZA"/>
        </w:rPr>
        <w:t xml:space="preserve">Vaage, Leif E., ed. </w:t>
      </w:r>
      <w:r>
        <w:rPr>
          <w:rFonts w:ascii="Gentium" w:hAnsi="Gentium" w:eastAsia="Gentium" w:cs="Gentium"/>
          <w:i/>
          <w:iCs/>
          <w:sz w:val="24"/>
          <w:szCs w:val="24"/>
          <w:lang w:val="en-ZA"/>
        </w:rPr>
        <w:t xml:space="preserve">Religious Rivalries in the Early Roman Empire and the Rise of Christianity</w:t>
      </w:r>
      <w:r>
        <w:rPr>
          <w:rFonts w:ascii="Gentium" w:hAnsi="Gentium" w:eastAsia="Gentium" w:cs="Gentium"/>
          <w:sz w:val="24"/>
          <w:szCs w:val="24"/>
          <w:lang w:val="en-ZA"/>
        </w:rPr>
        <w:t xml:space="preserve">. Studies in Christianity and Judaism. Waterloo, Ont.: Wilfrid Laurier University Press, 2006.</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lang w:val="en-ZA"/>
        </w:rPr>
        <w:t xml:space="preserve">Contains essays on the urban environment of religious competition among religious groups; ways of winning adherents; with a section on why Christianity became so successful in propagating itself.</w:t>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jc w:val="both"/>
        <w:rPr>
          <w:rFonts w:ascii="Gentium" w:hAnsi="Gentium" w:cs="Gentium"/>
        </w:rPr>
      </w:pPr>
      <w:r>
        <w:rPr>
          <w:rFonts w:ascii="Gentium" w:hAnsi="Gentium" w:eastAsia="Gentium" w:cs="Gentium"/>
          <w:lang w:val="en-ZA"/>
        </w:rPr>
        <w:tab/>
      </w:r>
      <w:r>
        <w:rPr>
          <w:rFonts w:ascii="Gentium" w:hAnsi="Gentium" w:cs="Gentium"/>
        </w:rPr>
      </w:r>
      <w:r>
        <w:rPr>
          <w:rFonts w:ascii="Gentium" w:hAnsi="Gentium" w:cs="Gentium"/>
        </w:rPr>
      </w:r>
    </w:p>
    <w:p>
      <w:pPr>
        <w:pStyle w:val="941"/>
        <w:pBdr/>
        <w:spacing/>
        <w:ind/>
        <w:rPr>
          <w:rFonts w:ascii="Gentium" w:hAnsi="Gentium" w:cs="Gentium"/>
        </w:rPr>
      </w:pPr>
      <w:r>
        <w:rPr>
          <w:rFonts w:ascii="Gentium" w:hAnsi="Gentium" w:eastAsia="Gentium" w:cs="Gentium"/>
          <w:lang w:val="en-ZA"/>
        </w:rPr>
        <w:tab/>
      </w:r>
      <w:bookmarkStart w:id="11" w:name="_Toc414386054"/>
      <w:r>
        <w:rPr>
          <w:rFonts w:ascii="Gentium" w:hAnsi="Gentium" w:eastAsia="Gentium" w:cs="Gentium"/>
        </w:rPr>
        <w:t xml:space="preserve">Early Judaism and Early Christianity</w:t>
      </w:r>
      <w:bookmarkEnd w:id="11"/>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There is divided opinion on the topic of the relation of early Judaism and early Christianity, especially with regard to the so-called parting of the ways, and the character, prev</w:t>
      </w:r>
      <w:r>
        <w:rPr>
          <w:rFonts w:ascii="Gentium" w:hAnsi="Gentium" w:eastAsia="Gentium" w:cs="Gentium"/>
        </w:rPr>
        <w:t xml:space="preserve">alence, and influence of Jewish Christianity (and how to define the latter). Some scholarly constructions put the break early, dates ranging from late first century to first half of second century. Other scholarly constructions see a continued coexistence </w:t>
      </w:r>
      <w:r>
        <w:rPr>
          <w:rFonts w:ascii="Gentium" w:hAnsi="Gentium" w:eastAsia="Gentium" w:cs="Gentium"/>
        </w:rPr>
        <w:t xml:space="preserve">only ending after the through-set of the Constantinian revolution, late fourth and first half of fifth century C.E. The issue has obvious relevance for the interpretation of early Christian literature, discourse and theology, social formations and identity</w:t>
      </w:r>
      <w:r>
        <w:rPr>
          <w:rFonts w:ascii="Gentium" w:hAnsi="Gentium" w:eastAsia="Gentium" w:cs="Gentium"/>
        </w:rPr>
        <w:t xml:space="preserve"> constructions. However, while not in the immediate focus of this article, it is recommended to consult the relevant essays in Horbury, Davies, Sturdy, eds., especially those essays that deal with interactions between early Judaism and early Christianity.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Barclay has a comprehensive overview of Judaism in the Mediterranean Diaspora, important since the Diaspora is the major arena for the interaction between early Judaism and early Christianity.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Dunn, ed. con</w:t>
      </w:r>
      <w:r>
        <w:rPr>
          <w:rFonts w:ascii="Gentium" w:hAnsi="Gentium" w:eastAsia="Gentium" w:cs="Gentium"/>
        </w:rPr>
        <w:t xml:space="preserve">tains the essays from a major collaborative conference between scholars from Durham and Tübingen that explored the contours of the “parting of the ways” from a point of view that the parting was by and large completed by the time of the second Jewish war.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t xml:space="preserve">Dunn’s 2006 book (the 2</w:t>
      </w:r>
      <w:r>
        <w:rPr>
          <w:rFonts w:ascii="Gentium" w:hAnsi="Gentium" w:eastAsia="Gentium" w:cs="Gentium"/>
          <w:vertAlign w:val="superscript"/>
        </w:rPr>
        <w:t xml:space="preserve">nd</w:t>
      </w:r>
      <w:r>
        <w:rPr>
          <w:rFonts w:ascii="Gentium" w:hAnsi="Gentium" w:eastAsia="Gentium" w:cs="Gentium"/>
        </w:rPr>
        <w:t xml:space="preserve"> edition) surveys</w:t>
      </w:r>
      <w:r>
        <w:rPr>
          <w:rFonts w:ascii="Gentium" w:hAnsi="Gentium" w:eastAsia="Gentium" w:cs="Gentium"/>
        </w:rPr>
        <w:t xml:space="preserve"> the issues that marked the distinctiveness of early Christianity against contemporary Judaism but softens his position on the dating of the parting somewhat in that he accepts it may have taken place over a longer period, into the fourth/fifth centuries. </w:t>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Lieu reflects on the making of Christian identity, but devotes the first part of the bo</w:t>
      </w:r>
      <w:r>
        <w:rPr>
          <w:rFonts w:ascii="Gentium" w:hAnsi="Gentium" w:eastAsia="Gentium" w:cs="Gentium"/>
        </w:rPr>
        <w:t xml:space="preserve">ok to the issue of boundary drawing on both sides as well as the historical modeling that allows scholars to speak of two distinct traditions. By contrast to Dunn, Becker and Reed, eds. and Boyarin take the opposite viewpoint, namely that the ways never re</w:t>
      </w:r>
      <w:r>
        <w:rPr>
          <w:rFonts w:ascii="Gentium" w:hAnsi="Gentium" w:eastAsia="Gentium" w:cs="Gentium"/>
        </w:rPr>
        <w:t xml:space="preserve">ally parted, or that it is problematic to speak of two clearly distinct traditions in our period. The real issue is the imposition of borders and identities by authority instances on to complex, real-life dynamic processes of everyday religious discourse.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t xml:space="preserve">The compendious volume of Skarsaune and Hvalvig, eds. takes a more balanced mediating position in that it, too, takes definitional matters </w:t>
      </w:r>
      <w:r>
        <w:rPr>
          <w:rFonts w:ascii="Gentium" w:hAnsi="Gentium" w:eastAsia="Gentium" w:cs="Gentium"/>
        </w:rPr>
        <w:t xml:space="preserve">seriously, but then with less polemic delineates the phenomenon of Jewish believers in Jesus in early Christian sources, concluding that Jewish believers in Jesus constituted a bigger portion of early Christians and of longer duration than previously held.</w:t>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Horbury, William, W. D. Davies, and John Sturdy, eds. </w:t>
      </w:r>
      <w:r>
        <w:rPr>
          <w:rFonts w:ascii="Gentium" w:hAnsi="Gentium" w:eastAsia="Gentium" w:cs="Gentium"/>
          <w:i/>
          <w:iCs/>
          <w:sz w:val="24"/>
          <w:szCs w:val="24"/>
        </w:rPr>
        <w:t xml:space="preserve">The Cambridge History of Judaism. Volume 3. The Roman Period</w:t>
      </w:r>
      <w:r>
        <w:rPr>
          <w:rFonts w:ascii="Gentium" w:hAnsi="Gentium" w:eastAsia="Gentium" w:cs="Gentium"/>
          <w:sz w:val="24"/>
          <w:szCs w:val="24"/>
        </w:rPr>
        <w:t xml:space="preserve">. Vol. 3. The Cambridge History of Judaism. Cambridge ; New York, N.Y.: Cambridge University Press, 1999.</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Of particular relevance are the articles on the various Jewish “sects”: Pharisees, Sadducees, Essenes, Samaritans, baptist sects, the “trouble makers” (inter alia on the earliest Jesus followers), Jesus, Paul, and Jewish Christianity.</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Barclay, John M. G. </w:t>
      </w:r>
      <w:r>
        <w:rPr>
          <w:rFonts w:ascii="Gentium" w:hAnsi="Gentium" w:eastAsia="Gentium" w:cs="Gentium"/>
          <w:i/>
          <w:iCs/>
        </w:rPr>
        <w:t xml:space="preserve">Jews in the Mediterranean Diaspora: From Alexander to Trajan (323 BCE to 117 CE)</w:t>
      </w:r>
      <w:r>
        <w:rPr>
          <w:rFonts w:ascii="Gentium" w:hAnsi="Gentium" w:eastAsia="Gentium" w:cs="Gentium"/>
        </w:rPr>
        <w:t xml:space="preserve">. </w:t>
      </w:r>
      <w:r>
        <w:rPr>
          <w:rFonts w:ascii="Gentium" w:hAnsi="Gentium" w:eastAsia="Gentium" w:cs="Gentium"/>
          <w:lang w:val="en-ZA"/>
        </w:rPr>
        <w:t xml:space="preserve">Edinburgh: T &amp; T Clark, 1996.</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lang w:val="en-ZA"/>
        </w:rPr>
        <w:t xml:space="preserve">Comprehensive survey of the Jewish Diaspora in Egypt (substantial first part of the book), with a second part on the Diaspora in other areas of the Medite</w:t>
      </w:r>
      <w:r>
        <w:rPr>
          <w:rFonts w:ascii="Gentium" w:hAnsi="Gentium" w:eastAsia="Gentium" w:cs="Gentium"/>
          <w:lang w:val="en-ZA"/>
        </w:rPr>
        <w:t xml:space="preserve">rranean world (Rome, Asia, Africa, and Syria), ending with a synthesis on Jewish identity in the Diaspora (part three). In each part deals with aspects of assimilation as well as key authors and texts illustrating issues of Jewish identity in the Diaspora.</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Dunn, James D. G., ed. </w:t>
      </w:r>
      <w:r>
        <w:rPr>
          <w:rFonts w:ascii="Gentium" w:hAnsi="Gentium" w:eastAsia="Gentium" w:cs="Gentium"/>
          <w:i/>
          <w:iCs/>
          <w:sz w:val="24"/>
          <w:szCs w:val="24"/>
        </w:rPr>
        <w:t xml:space="preserve">Jews and Christians: The Parting of the Ways A.D. 70 to 135. The Second Durham-Tübingen Research Symposium on Earliest Christianity and Judaism (Durham, September, 1989)</w:t>
      </w:r>
      <w:r>
        <w:rPr>
          <w:rFonts w:ascii="Gentium" w:hAnsi="Gentium" w:eastAsia="Gentium" w:cs="Gentium"/>
          <w:sz w:val="24"/>
          <w:szCs w:val="24"/>
        </w:rPr>
        <w:t xml:space="preserve">. Grand Rapids, Mich.; Cambridge, UK: Eerdmans, 1999.</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Various essays address the divergence of early Judaism and early Christianity from the textual evidence of such a split, mainly from New Testament evidence as well as some 2</w:t>
      </w:r>
      <w:r>
        <w:rPr>
          <w:rFonts w:ascii="Gentium" w:hAnsi="Gentium" w:eastAsia="Gentium" w:cs="Gentium"/>
          <w:sz w:val="24"/>
          <w:szCs w:val="24"/>
          <w:vertAlign w:val="superscript"/>
        </w:rPr>
        <w:t xml:space="preserve">nd</w:t>
      </w:r>
      <w:r>
        <w:rPr>
          <w:rFonts w:ascii="Gentium" w:hAnsi="Gentium" w:eastAsia="Gentium" w:cs="Gentium"/>
          <w:sz w:val="24"/>
          <w:szCs w:val="24"/>
        </w:rPr>
        <w:t xml:space="preserve"> century</w:t>
      </w:r>
      <w:r>
        <w:rPr>
          <w:rFonts w:ascii="Gentium" w:hAnsi="Gentium" w:eastAsia="Gentium" w:cs="Gentium"/>
          <w:sz w:val="24"/>
          <w:szCs w:val="24"/>
        </w:rPr>
        <w:t xml:space="preserve"> authors, but also from the perspective of rabbinic writings. Apart from considering divergent developments in apocalypticism and mysticism, the issue of early Christian anti-Semitism and divergent reactions to the destruction of the temple are considered.</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eastAsia="Gentium" w:cs="Gentium"/>
          <w:sz w:val="24"/>
          <w:szCs w:val="24"/>
        </w:rPr>
        <w:t xml:space="preserve">Dunn, James D. G. </w:t>
      </w:r>
      <w:r>
        <w:rPr>
          <w:rFonts w:ascii="Gentium" w:hAnsi="Gentium" w:eastAsia="Gentium" w:cs="Gentium"/>
          <w:i/>
          <w:iCs/>
          <w:sz w:val="24"/>
          <w:szCs w:val="24"/>
        </w:rPr>
        <w:t xml:space="preserve">The Partings of the Ways: Between Christianity and Judaism and Their Significance for the Character of Christianity</w:t>
      </w:r>
      <w:r>
        <w:rPr>
          <w:rFonts w:ascii="Gentium" w:hAnsi="Gentium" w:eastAsia="Gentium" w:cs="Gentium"/>
          <w:sz w:val="24"/>
          <w:szCs w:val="24"/>
        </w:rPr>
        <w:t xml:space="preserve">. 2nd ed. London: SCM, 2006.</w:t>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Dunn slightly modifies his stance on the “parting of the ways” in that here he accepts that the process may have taken longer than previously assumed and was probably not a singular, linear process. A survey of 19</w:t>
      </w:r>
      <w:r>
        <w:rPr>
          <w:rFonts w:ascii="Gentium" w:hAnsi="Gentium" w:eastAsia="Gentium" w:cs="Gentium"/>
          <w:vertAlign w:val="superscript"/>
        </w:rPr>
        <w:t xml:space="preserve">th</w:t>
      </w:r>
      <w:r>
        <w:rPr>
          <w:rFonts w:ascii="Gentium" w:hAnsi="Gentium" w:eastAsia="Gentium" w:cs="Gentium"/>
        </w:rPr>
        <w:t xml:space="preserve"> to late 20</w:t>
      </w:r>
      <w:r>
        <w:rPr>
          <w:rFonts w:ascii="Gentium" w:hAnsi="Gentium" w:eastAsia="Gentium" w:cs="Gentium"/>
          <w:vertAlign w:val="superscript"/>
        </w:rPr>
        <w:t xml:space="preserve">th</w:t>
      </w:r>
      <w:r>
        <w:rPr>
          <w:rFonts w:ascii="Gentium" w:hAnsi="Gentium" w:eastAsia="Gentium" w:cs="Gentium"/>
        </w:rPr>
        <w:t xml:space="preserve"> century scholarship on the issue is followed by an extended discussion of the four fundamental aspects of Second Temple Judaism (monotheism, temple, election/covenant, Torah) and the way in which early Christian writings relate to these issues. </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Lieu, Judith. </w:t>
      </w:r>
      <w:r>
        <w:rPr>
          <w:rFonts w:ascii="Gentium" w:hAnsi="Gentium" w:eastAsia="Gentium" w:cs="Gentium"/>
          <w:i/>
          <w:iCs/>
        </w:rPr>
        <w:t xml:space="preserve">Neither Jew nor Greek? Constructing Early Christianity</w:t>
      </w:r>
      <w:r>
        <w:rPr>
          <w:rFonts w:ascii="Gentium" w:hAnsi="Gentium" w:eastAsia="Gentium" w:cs="Gentium"/>
        </w:rPr>
        <w:t xml:space="preserve">. London; New York, N.Y.: T &amp; T Clark, 2005.</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Lieu addresses the construction of early Christian identity, devoting much space to the interactions between early Judaism and early Christianity, questioning the assumptions underlying the “parting of the</w:t>
      </w:r>
      <w:r>
        <w:rPr>
          <w:rFonts w:ascii="Gentium" w:hAnsi="Gentium" w:eastAsia="Gentium" w:cs="Gentium"/>
        </w:rPr>
        <w:t xml:space="preserve"> ways” model. Lieu argues that the boundaries between early Judaisms and early Christianities were more fluid than commonly assumed, and that the textual tradition by its very performativity and rhetoricity was instrumental in creating separate identities.</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Becker, Adam H, and Annette Yoshiko Reed, eds. </w:t>
      </w:r>
      <w:r>
        <w:rPr>
          <w:rFonts w:ascii="Gentium" w:hAnsi="Gentium" w:eastAsia="Gentium" w:cs="Gentium"/>
          <w:i/>
          <w:iCs/>
        </w:rPr>
        <w:t xml:space="preserve">The Ways That Never Parted: Jews and Christians in Late Antiquity and the Early Middle Ages</w:t>
      </w:r>
      <w:r>
        <w:rPr>
          <w:rFonts w:ascii="Gentium" w:hAnsi="Gentium" w:eastAsia="Gentium" w:cs="Gentium"/>
        </w:rPr>
        <w:t xml:space="preserve">. Minneapolis, Minn.: Fortress Press, 2007 [2003].</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The result of a Princeton-Oxford collaborative project on religions in Late Antiquity, questions fundamentally the assumption of a singular “parting of the ways” between two neatly delineated tra</w:t>
      </w:r>
      <w:r>
        <w:rPr>
          <w:rFonts w:ascii="Gentium" w:hAnsi="Gentium" w:eastAsia="Gentium" w:cs="Gentium"/>
        </w:rPr>
        <w:t xml:space="preserve">ditions. Various contributions consider issues of historiography, textual evidence, and theory of identity formation in relation to the continued overlapping, intertwining, and mutual shaping even as both traditions interacted with the surrounding context.</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Boyarin, Daniel. </w:t>
      </w:r>
      <w:r>
        <w:rPr>
          <w:rFonts w:ascii="Gentium" w:hAnsi="Gentium" w:eastAsia="Gentium" w:cs="Gentium"/>
          <w:i/>
          <w:iCs/>
        </w:rPr>
        <w:t xml:space="preserve">Border Lines: The Partition of Judaeo-Christianity</w:t>
      </w:r>
      <w:r>
        <w:rPr>
          <w:rFonts w:ascii="Gentium" w:hAnsi="Gentium" w:eastAsia="Gentium" w:cs="Gentium"/>
        </w:rPr>
        <w:t xml:space="preserve">. Divinations: Rereading Late Ancient Religion. Philadelphia, Pa.: University of Pennsylvania Press, 2004.</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Boyarin’s main argument is that the border lines between early Judaism and early Ch</w:t>
      </w:r>
      <w:r>
        <w:rPr>
          <w:rFonts w:ascii="Gentium" w:hAnsi="Gentium" w:eastAsia="Gentium" w:cs="Gentium"/>
        </w:rPr>
        <w:t xml:space="preserve">ristianity have been imposed “from above” rather than being the natural result of divergent developments of two distinct religions. The final partition of the two into distinct religions occurred in the context of the newly Christianized empire after the 4</w:t>
      </w:r>
      <w:r>
        <w:rPr>
          <w:rFonts w:ascii="Gentium" w:hAnsi="Gentium" w:eastAsia="Gentium" w:cs="Gentium"/>
          <w:vertAlign w:val="superscript"/>
        </w:rPr>
        <w:t xml:space="preserve">th</w:t>
      </w:r>
      <w:r>
        <w:rPr>
          <w:rFonts w:ascii="Gentium" w:hAnsi="Gentium" w:eastAsia="Gentium" w:cs="Gentium"/>
        </w:rPr>
        <w:t xml:space="preserve"> century, when Judaism became a religion alongside “paganism”. </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lang w:val="da-DK"/>
        </w:rPr>
        <w:t xml:space="preserve">Skarsaune, Oskar, and Reidar Hvalvik, eds. </w:t>
      </w:r>
      <w:r>
        <w:rPr>
          <w:rFonts w:ascii="Gentium" w:hAnsi="Gentium" w:eastAsia="Gentium" w:cs="Gentium"/>
          <w:i/>
          <w:iCs/>
        </w:rPr>
        <w:t xml:space="preserve">Jewish Believers in Jesus. The Early Centuries</w:t>
      </w:r>
      <w:r>
        <w:rPr>
          <w:rFonts w:ascii="Gentium" w:hAnsi="Gentium" w:eastAsia="Gentium" w:cs="Gentium"/>
        </w:rPr>
        <w:t xml:space="preserve">. Peabody, Mass.: Hendrickson, 2007.</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Considers problems of definition and methodology and investigates the evidence for Jewish Christians in the New Testament. Surveys the literary remains of Jewish Christians and provides historical reconstructio</w:t>
      </w:r>
      <w:r>
        <w:rPr>
          <w:rFonts w:ascii="Gentium" w:hAnsi="Gentium" w:eastAsia="Gentium" w:cs="Gentium"/>
        </w:rPr>
        <w:t xml:space="preserve">ns of Jewish Christian groups, including archaeological evidence. They argue that Jewish Christians were perhaps more numerous than previously thought, and continued as a significant influence in developing Christianity for longer than previously accepted.</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0"/>
        <w:pBdr/>
        <w:spacing/>
        <w:ind/>
        <w:rPr>
          <w:rFonts w:ascii="Gentium" w:hAnsi="Gentium" w:cs="Gentium"/>
        </w:rPr>
      </w:pPr>
      <w:r/>
      <w:bookmarkStart w:id="12" w:name="_Toc414386055"/>
      <w:r>
        <w:rPr>
          <w:rFonts w:ascii="Gentium" w:hAnsi="Gentium" w:eastAsia="Gentium" w:cs="Gentium"/>
        </w:rPr>
        <w:t xml:space="preserve">E</w:t>
      </w:r>
      <w:r>
        <w:rPr>
          <w:rFonts w:ascii="Gentium" w:hAnsi="Gentium" w:eastAsia="Gentium" w:cs="Gentium"/>
          <w:lang w:val="en-US"/>
        </w:rPr>
        <w:t xml:space="preserve">arly </w:t>
      </w:r>
      <w:r>
        <w:rPr>
          <w:rFonts w:ascii="Gentium" w:hAnsi="Gentium" w:eastAsia="Gentium" w:cs="Gentium"/>
        </w:rPr>
        <w:t xml:space="preserve">C</w:t>
      </w:r>
      <w:r>
        <w:rPr>
          <w:rFonts w:ascii="Gentium" w:hAnsi="Gentium" w:eastAsia="Gentium" w:cs="Gentium"/>
          <w:lang w:val="en-US"/>
        </w:rPr>
        <w:t xml:space="preserve">hristian Archaelogy, Art and</w:t>
      </w:r>
      <w:r>
        <w:rPr>
          <w:rFonts w:ascii="Gentium" w:hAnsi="Gentium" w:eastAsia="Gentium" w:cs="Gentium"/>
        </w:rPr>
        <w:t xml:space="preserve"> I</w:t>
      </w:r>
      <w:r>
        <w:rPr>
          <w:rFonts w:ascii="Gentium" w:hAnsi="Gentium" w:eastAsia="Gentium" w:cs="Gentium"/>
          <w:lang w:val="en-US"/>
        </w:rPr>
        <w:t xml:space="preserve">conography</w:t>
      </w:r>
      <w:bookmarkEnd w:id="12"/>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rPr>
        <w:t xml:space="preserve">This section deals with the</w:t>
      </w:r>
      <w:r>
        <w:rPr>
          <w:rFonts w:ascii="Gentium" w:hAnsi="Gentium" w:eastAsia="Gentium" w:cs="Gentium"/>
        </w:rPr>
        <w:t xml:space="preserve"> material remains of early Christianity in so far as these allow reconstructions of early Christian habitus and living contexts as well as interpretations that draw on material artifacts to imagine overarching social and ideological discourse in formation.</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bookmarkStart w:id="13" w:name="_Toc414386056"/>
      <w:r>
        <w:rPr>
          <w:rFonts w:ascii="Gentium" w:hAnsi="Gentium" w:eastAsia="Gentium" w:cs="Gentium"/>
        </w:rPr>
        <w:t xml:space="preserve">Early Christian Archaeology</w:t>
      </w:r>
      <w:bookmarkEnd w:id="13"/>
      <w:r>
        <w:rPr>
          <w:rFonts w:ascii="Gentium" w:hAnsi="Gentium" w:cs="Gentium"/>
        </w:rPr>
      </w:r>
      <w:r>
        <w:rPr>
          <w:rFonts w:ascii="Gentium" w:hAnsi="Gentium" w:cs="Gentium"/>
        </w:rPr>
      </w:r>
    </w:p>
    <w:p>
      <w:pPr>
        <w:pStyle w:val="1016"/>
        <w:pBdr/>
        <w:spacing w:after="0" w:afterAutospacing="0" w:before="0" w:beforeAutospacing="0"/>
        <w:ind w:right="0" w:firstLine="709" w:left="0"/>
        <w:jc w:val="both"/>
        <w:rPr>
          <w:rFonts w:ascii="Gentium" w:hAnsi="Gentium" w:cs="Gentium"/>
          <w:i/>
        </w:rPr>
      </w:pPr>
      <w:r>
        <w:rPr>
          <w:rFonts w:ascii="Gentium" w:hAnsi="Gentium" w:cs="Gentium"/>
          <w:i/>
        </w:rPr>
      </w:r>
      <w:r>
        <w:rPr>
          <w:rFonts w:ascii="Gentium" w:hAnsi="Gentium" w:cs="Gentium"/>
          <w:i/>
        </w:rPr>
      </w:r>
      <w:r>
        <w:rPr>
          <w:rFonts w:ascii="Gentium" w:hAnsi="Gentium" w:cs="Gentium"/>
          <w:i/>
        </w:rPr>
      </w:r>
    </w:p>
    <w:p>
      <w:pPr>
        <w:pStyle w:val="1016"/>
        <w:pBdr/>
        <w:spacing w:after="0" w:afterAutospacing="0" w:before="0" w:beforeAutospacing="0"/>
        <w:ind/>
        <w:jc w:val="both"/>
        <w:rPr>
          <w:rFonts w:ascii="Gentium" w:hAnsi="Gentium" w:cs="Gentium"/>
        </w:rPr>
      </w:pPr>
      <w:r>
        <w:rPr>
          <w:rFonts w:ascii="Gentium" w:hAnsi="Gentium" w:eastAsia="Gentium" w:cs="Gentium"/>
        </w:rPr>
        <w:t xml:space="preserve">There is a wealth of studies on particular sites and detailed</w:t>
      </w:r>
      <w:r>
        <w:rPr>
          <w:rFonts w:ascii="Gentium" w:hAnsi="Gentium" w:eastAsia="Gentium" w:cs="Gentium"/>
        </w:rPr>
        <w:t xml:space="preserve"> aspects of early Christianity ranging from spaces and objects to inscriptions, many of which are of essential importance to reconstruct the living world of early Christianity. The artifactual remains add their own layer of meaning to the study of the form</w:t>
      </w:r>
      <w:r>
        <w:rPr>
          <w:rFonts w:ascii="Gentium" w:hAnsi="Gentium" w:eastAsia="Gentium" w:cs="Gentium"/>
        </w:rPr>
        <w:t xml:space="preserve">ation of early Christianity as lived habitus, and should be interpreted themselves through an array of social, cultural, discourse, and representation theories. Archaeological remains often stand in tension to the literary traditions of early Christianity.</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t xml:space="preserve">Focusing on five important centres relating to early Christianity, namely Ephesos, Pergamon, Corinth, Thessaloniki, and Rome, the works of Koester, ed., Daniel N. Schowalter and Steven J. Friesen, eds</w:t>
      </w:r>
      <w:r>
        <w:rPr>
          <w:rFonts w:ascii="Gentium" w:hAnsi="Gentium" w:eastAsia="Gentium" w:cs="Gentium"/>
        </w:rPr>
        <w:t xml:space="preserve">., Laura Nasrallah, Charalambos Bakirtzis, and Steven J. Friesen, eds., and Lampe draw on archaeological data to construct the social and religious contexts of these sites and to relate this to aspects of early Christianity, its practices and organization.</w:t>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bookmarkStart w:id="14" w:name="_Toc414386057"/>
      <w:r>
        <w:rPr>
          <w:rFonts w:ascii="Gentium" w:hAnsi="Gentium" w:eastAsia="Gentium" w:cs="Gentium"/>
        </w:rPr>
        <w:t xml:space="preserve">Early Christian archaeology: history</w:t>
      </w:r>
      <w:bookmarkEnd w:id="14"/>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rPr>
        <w:t xml:space="preserve">Recent emphases in the human sciences and the study of religion on the discursive constructedness of knowledge and the role of empire</w:t>
      </w:r>
      <w:r>
        <w:rPr>
          <w:rFonts w:ascii="Gentium" w:hAnsi="Gentium" w:eastAsia="Gentium" w:cs="Gentium"/>
        </w:rPr>
        <w:t xml:space="preserve"> in conceiving of religion requires a new approach to the archaeology of early Christianity. In this context what counts as ‘archaeological data and knowledge’ is a product of discourse – social, cultural, political, etc. As such, Frend’s work should be re</w:t>
      </w:r>
      <w:r>
        <w:rPr>
          <w:rFonts w:ascii="Gentium" w:hAnsi="Gentium" w:eastAsia="Gentium" w:cs="Gentium"/>
        </w:rPr>
        <w:t xml:space="preserve">ad in conjunction with recent theories of Christian origins (see below) as well as recent studies on the metahistory and metatheory of the discipline of early Christian studies as discourse. The work by Frend is a historicization of archaeology, an exposit</w:t>
      </w:r>
      <w:r>
        <w:rPr>
          <w:rFonts w:ascii="Gentium" w:hAnsi="Gentium" w:eastAsia="Gentium" w:cs="Gentium"/>
        </w:rPr>
        <w:t xml:space="preserve">ion of this history of the history of archaeology. The wide-ranging book by Frend covers the history of archaeology of early Christianity and shows how, since the earliest beginnings, it was deeply implicated in issues of rising European nationalism and re</w:t>
      </w:r>
      <w:r>
        <w:rPr>
          <w:rFonts w:ascii="Gentium" w:hAnsi="Gentium" w:eastAsia="Gentium" w:cs="Gentium"/>
        </w:rPr>
        <w:t xml:space="preserve">ligious definition, and yet provided important insights into Jewish-Christian relations in the first centuries and long-ignored popular religion and non-orthodox, often questioning the conventionally held views of the origins and formation of Christianity.</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Frend, W. H. C. </w:t>
      </w:r>
      <w:r>
        <w:rPr>
          <w:rFonts w:ascii="Gentium" w:hAnsi="Gentium" w:eastAsia="Gentium" w:cs="Gentium"/>
          <w:i/>
          <w:iCs/>
        </w:rPr>
        <w:t xml:space="preserve">The Archaeology of Early Christianity. A History</w:t>
      </w:r>
      <w:r>
        <w:rPr>
          <w:rFonts w:ascii="Gentium" w:hAnsi="Gentium" w:eastAsia="Gentium" w:cs="Gentium"/>
        </w:rPr>
        <w:t xml:space="preserve">. Minneapolis, Minn.: Fortress Press, 1996.</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Surveys the history of the archaeology of early Christianity from antiquity through the Renaissance to the modern period with a special emphasis on the 19</w:t>
      </w:r>
      <w:r>
        <w:rPr>
          <w:rFonts w:ascii="Gentium" w:hAnsi="Gentium" w:eastAsia="Gentium" w:cs="Gentium"/>
          <w:vertAlign w:val="superscript"/>
        </w:rPr>
        <w:t xml:space="preserve">th</w:t>
      </w:r>
      <w:r>
        <w:rPr>
          <w:rFonts w:ascii="Gentium" w:hAnsi="Gentium" w:eastAsia="Gentium" w:cs="Gentium"/>
        </w:rPr>
        <w:t xml:space="preserve"> century and the pursuit of archaeology as a matter of nationalist and imperial pride, with three last chapters on recent developments and outlook.</w:t>
      </w:r>
      <w:r>
        <w:rPr>
          <w:rFonts w:ascii="Gentium" w:hAnsi="Gentium" w:cs="Gentium"/>
        </w:rPr>
      </w:r>
      <w:r>
        <w:rPr>
          <w:rFonts w:ascii="Gentium" w:hAnsi="Gentium" w:cs="Gentium"/>
        </w:rPr>
      </w:r>
    </w:p>
    <w:p>
      <w:pPr>
        <w:pStyle w:val="941"/>
        <w:pBdr/>
        <w:spacing/>
        <w:ind/>
        <w:rPr>
          <w:rFonts w:ascii="Gentium" w:hAnsi="Gentium" w:cs="Gentium"/>
        </w:rPr>
      </w:pPr>
      <w:r/>
      <w:bookmarkStart w:id="15" w:name="_Toc414386058"/>
      <w:r>
        <w:rPr>
          <w:rFonts w:ascii="Gentium" w:hAnsi="Gentium" w:eastAsia="Gentium" w:cs="Gentium"/>
        </w:rPr>
        <w:t xml:space="preserve">Early Christian archaeology: general</w:t>
      </w:r>
      <w:bookmarkEnd w:id="15"/>
      <w:r>
        <w:rPr>
          <w:rFonts w:ascii="Gentium" w:hAnsi="Gentium" w:eastAsia="Gentium" w:cs="Gentium"/>
        </w:rPr>
        <w:t xml:space="preserve"> conceptualizing contexts for early Christian life</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Work on early Christian archaeology should be read in conjunction with other studies that touch on social aspects of early Christianity, its social formations and identity makin</w:t>
      </w:r>
      <w:r>
        <w:rPr>
          <w:rFonts w:ascii="Gentium" w:hAnsi="Gentium" w:eastAsia="Gentium" w:cs="Gentium"/>
        </w:rPr>
        <w:t xml:space="preserve">g processes, women in early Christianity, Christian origins, as well as diversities manifesting in a material cultural manner. In this manner early Christian archaeology interprets the material remains of other domains of discourse formation and practice.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Focusing on the unwritten evidence (the material remains), Macmullen constructs the lived religion</w:t>
      </w:r>
      <w:r>
        <w:rPr>
          <w:rFonts w:ascii="Gentium" w:hAnsi="Gentium" w:eastAsia="Gentium" w:cs="Gentium"/>
        </w:rPr>
        <w:t xml:space="preserve"> and practices of early Christians in a wide range of geographical and spatial contexts. Drawing conclusions about cult practices and numbers, he brings to life a Christianity not easily seen from the written, literary tradition which mainly encodes author</w:t>
      </w:r>
      <w:r>
        <w:rPr>
          <w:rFonts w:ascii="Gentium" w:hAnsi="Gentium" w:eastAsia="Gentium" w:cs="Gentium"/>
        </w:rPr>
        <w:t xml:space="preserve">ity voices. In the same vein, Snyder shows how the earliest Christian archaeological evidence depicts themes that circumscribe a Christian discourse not centered on a theology of the cross, but on healing, care, and safety from threatening circumstances. T</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he work of L. Michael White Volume 1 and Volume 2 describe the development of Christian architecture of religious meeting spaces within the contex</w:t>
      </w:r>
      <w:r>
        <w:rPr>
          <w:rFonts w:ascii="Gentium" w:hAnsi="Gentium" w:eastAsia="Gentium" w:cs="Gentium"/>
        </w:rPr>
        <w:t xml:space="preserve">t of religious architecture in the wider Graeco-Roman world, using textual and archaeological data to highlight the social discourses that led to the development of specifically Christian religious buildings from original house churches as meeting places.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t xml:space="preserve">David L. Balch and David L. Balch and Annette Weissenrieder, eds. relate archaeology and art and the function of spaces in Roman temples an</w:t>
      </w:r>
      <w:r>
        <w:rPr>
          <w:rFonts w:ascii="Gentium" w:hAnsi="Gentium" w:eastAsia="Gentium" w:cs="Gentium"/>
        </w:rPr>
        <w:t xml:space="preserve">d houses of various kinds to early Christian discourses, narratives, and practices, and show how spaces/spatial arrangements and visual arts encoded imperial social values but also the many places where these intersect with Christian values and discourses.</w:t>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MacMullen, Ramsay. </w:t>
      </w:r>
      <w:r>
        <w:rPr>
          <w:rFonts w:ascii="Gentium" w:hAnsi="Gentium" w:eastAsia="Gentium" w:cs="Gentium"/>
          <w:i/>
          <w:iCs/>
        </w:rPr>
        <w:t xml:space="preserve">The Second Church: Popular Christianity A.D. 200-400</w:t>
      </w:r>
      <w:r>
        <w:rPr>
          <w:rFonts w:ascii="Gentium" w:hAnsi="Gentium" w:eastAsia="Gentium" w:cs="Gentium"/>
        </w:rPr>
        <w:t xml:space="preserve">. Vol. 1. Writings from the Greco-Roman World Supplement Series. Atlanta, Ga.: Society of Biblical Literature, 2009.</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Covering the eastern provinces of the Roman Empire, Greece a</w:t>
      </w:r>
      <w:r>
        <w:rPr>
          <w:rFonts w:ascii="Gentium" w:hAnsi="Gentium" w:eastAsia="Gentium" w:cs="Gentium"/>
        </w:rPr>
        <w:t xml:space="preserve">nd the Balkan, Italy and the Northwest, and Africa, surveys the archaeological data for different kinds of Christian meeting places and meeting practices, concludes about social composition of Christian groups and the religious life of ordinary Christians.</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lang w:val="es-ES"/>
        </w:rPr>
        <w:t xml:space="preserve">Snyder, Graydon F. </w:t>
      </w:r>
      <w:r>
        <w:rPr>
          <w:rFonts w:ascii="Gentium" w:hAnsi="Gentium" w:eastAsia="Gentium" w:cs="Gentium"/>
          <w:i/>
          <w:iCs/>
          <w:lang w:val="es-ES"/>
        </w:rPr>
        <w:t xml:space="preserve">Ante Pacem. </w:t>
      </w:r>
      <w:r>
        <w:rPr>
          <w:rFonts w:ascii="Gentium" w:hAnsi="Gentium" w:eastAsia="Gentium" w:cs="Gentium"/>
          <w:i/>
          <w:iCs/>
        </w:rPr>
        <w:t xml:space="preserve">Archaeological Evidence for Church Life Before Constantine</w:t>
      </w:r>
      <w:r>
        <w:rPr>
          <w:rFonts w:ascii="Gentium" w:hAnsi="Gentium" w:eastAsia="Gentium" w:cs="Gentium"/>
        </w:rPr>
        <w:t xml:space="preserve">. revised edition. Macon, Ga.: Mercer University Press, 2003.</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Method and theory informs the interpretsation of early Christian symbols as well as the different kinds of sources. Pictorial representations of biblical narrative are interpreted. A number of significant </w:t>
      </w:r>
      <w:r>
        <w:rPr>
          <w:rFonts w:ascii="Gentium" w:hAnsi="Gentium" w:eastAsia="Gentium" w:cs="Gentium"/>
        </w:rPr>
        <w:t xml:space="preserve">data sites (church buildings, cemeteries, baptisteries) are described as well as inscriptions, graffiti, and papyri. The symbols give a different picture of early Christian social contexts and discourse than what one would guess from the written tradition.</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right="0" w:hanging="709" w:left="709"/>
        <w:jc w:val="both"/>
        <w:rPr>
          <w:rFonts w:ascii="Gentium" w:hAnsi="Gentium" w:cs="Gentium"/>
        </w:rPr>
      </w:pPr>
      <w:r>
        <w:rPr>
          <w:rFonts w:ascii="Gentium" w:hAnsi="Gentium" w:eastAsia="Gentium" w:cs="Gentium"/>
          <w:sz w:val="24"/>
          <w:szCs w:val="24"/>
        </w:rPr>
        <w:t xml:space="preserve">White, L. Michael. </w:t>
      </w:r>
      <w:r>
        <w:rPr>
          <w:rFonts w:ascii="Gentium" w:hAnsi="Gentium" w:eastAsia="Gentium" w:cs="Gentium"/>
          <w:i/>
          <w:iCs/>
          <w:sz w:val="24"/>
          <w:szCs w:val="24"/>
        </w:rPr>
        <w:t xml:space="preserve">The Social Origins of Christian Architecture. Volume 1.  Building God’s House in the Roman World: Architectural Adaptation Among Pagans, Jews, and Christians</w:t>
      </w:r>
      <w:r>
        <w:rPr>
          <w:rFonts w:ascii="Gentium" w:hAnsi="Gentium" w:eastAsia="Gentium" w:cs="Gentium"/>
          <w:sz w:val="24"/>
          <w:szCs w:val="24"/>
        </w:rPr>
        <w:t xml:space="preserve">. Valley Forge, Penn.: Trinity Press International, 1996.</w:t>
      </w:r>
      <w:r>
        <w:rPr>
          <w:rFonts w:ascii="Gentium" w:hAnsi="Gentium" w:eastAsia="Gentium" w:cs="Gentium"/>
        </w:rPr>
        <w:t xml:space="preserve"> </w:t>
      </w:r>
      <w:r>
        <w:rPr>
          <w:rFonts w:ascii="Gentium" w:hAnsi="Gentium" w:cs="Gentium"/>
        </w:rPr>
      </w:r>
      <w:r>
        <w:rPr>
          <w:rFonts w:ascii="Gentium" w:hAnsi="Gentium" w:cs="Gentium"/>
        </w:rPr>
      </w:r>
    </w:p>
    <w:p>
      <w:pPr>
        <w:pStyle w:val="1017"/>
        <w:pBdr/>
        <w:spacing/>
        <w:ind w:right="0" w:firstLine="0" w:left="680"/>
        <w:jc w:val="both"/>
        <w:rPr>
          <w:rFonts w:ascii="Gentium" w:hAnsi="Gentium" w:cs="Gentium"/>
          <w:sz w:val="24"/>
          <w:szCs w:val="24"/>
        </w:rPr>
      </w:pPr>
      <w:r>
        <w:rPr>
          <w:rFonts w:ascii="Gentium" w:hAnsi="Gentium" w:eastAsia="Gentium" w:cs="Gentium"/>
          <w:sz w:val="24"/>
          <w:szCs w:val="24"/>
        </w:rPr>
        <w:t xml:space="preserve">Contains an introduction on archaeology and the descripti</w:t>
      </w:r>
      <w:r>
        <w:rPr>
          <w:rFonts w:ascii="Gentium" w:hAnsi="Gentium" w:eastAsia="Gentium" w:cs="Gentium"/>
          <w:sz w:val="24"/>
          <w:szCs w:val="24"/>
        </w:rPr>
        <w:t xml:space="preserve">on of Christian religious architecture; section on interpretive models for Christian religious spaces; the “housing” of private cults; Jewish synagogues in the Diaspora; phases of church building; conclusion on Christian adaption to the social environment.</w:t>
      </w:r>
      <w:r>
        <w:rPr>
          <w:rFonts w:ascii="Gentium" w:hAnsi="Gentium" w:eastAsia="Gentium" w:cs="Gentium"/>
        </w:rPr>
        <w:t xml:space="preserve"> E</w:t>
      </w:r>
      <w:r>
        <w:rPr>
          <w:rFonts w:ascii="Gentium" w:hAnsi="Gentium" w:eastAsia="Gentium" w:cs="Gentium"/>
          <w:sz w:val="24"/>
          <w:szCs w:val="24"/>
        </w:rPr>
        <w:t xml:space="preserve">arly Christian meeting spaces are indicative of their social status.</w:t>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White, L. Michael. </w:t>
      </w:r>
      <w:r>
        <w:rPr>
          <w:rFonts w:ascii="Gentium" w:hAnsi="Gentium" w:eastAsia="Gentium" w:cs="Gentium"/>
          <w:i/>
          <w:iCs/>
        </w:rPr>
        <w:t xml:space="preserve">The Social Origins of Christian Architecture. Volume 2. Texts and Monuments for the Christian Domus Ecclesiae in Its Environment</w:t>
      </w:r>
      <w:r>
        <w:rPr>
          <w:rFonts w:ascii="Gentium" w:hAnsi="Gentium" w:eastAsia="Gentium" w:cs="Gentium"/>
        </w:rPr>
        <w:t xml:space="preserve">. Valley Forge, Penn.: Trinity Press International, 1997.</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Primary data for Christian religious spaces are interpreted in </w:t>
      </w:r>
      <w:r>
        <w:rPr>
          <w:rFonts w:ascii="Gentium" w:hAnsi="Gentium" w:eastAsia="Gentium" w:cs="Gentium"/>
        </w:rPr>
        <w:t xml:space="preserve">three sections: literary evidence for early Christian assemblies from Christian and non-Christian sources, archaeological evidence, and comparative evidence from Mithraism and Diaspora Judaism. Concludes with a catalogue of Christian archaeological sites. </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Balch, David L. </w:t>
      </w:r>
      <w:r>
        <w:rPr>
          <w:rFonts w:ascii="Gentium" w:hAnsi="Gentium" w:eastAsia="Gentium" w:cs="Gentium"/>
          <w:i/>
          <w:iCs/>
        </w:rPr>
        <w:t xml:space="preserve">Roman Domestic Art and Early House Churches</w:t>
      </w:r>
      <w:r>
        <w:rPr>
          <w:rFonts w:ascii="Gentium" w:hAnsi="Gentium" w:eastAsia="Gentium" w:cs="Gentium"/>
        </w:rPr>
        <w:t xml:space="preserve">. </w:t>
      </w:r>
      <w:r>
        <w:rPr>
          <w:rFonts w:ascii="Gentium" w:hAnsi="Gentium" w:eastAsia="Gentium" w:cs="Gentium"/>
          <w:lang w:val="de-DE"/>
        </w:rPr>
        <w:t xml:space="preserve">Vol. 228. Wissenschaftliche Untersuchungen zum Neuen Testament. </w:t>
      </w:r>
      <w:r>
        <w:rPr>
          <w:rFonts w:ascii="Gentium" w:hAnsi="Gentium" w:eastAsia="Gentium" w:cs="Gentium"/>
        </w:rPr>
        <w:t xml:space="preserve">Tübingen: Mohr Siebeck, 2008.</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Starts with an introduction of Roman religion and its function in Roman interior decoration. Discusses Pompeian houses, shops, multistory buildings as spaces for Pau</w:t>
      </w:r>
      <w:r>
        <w:rPr>
          <w:rFonts w:ascii="Gentium" w:hAnsi="Gentium" w:eastAsia="Gentium" w:cs="Gentium"/>
        </w:rPr>
        <w:t xml:space="preserve">line house churches. Chapters 2 to 6 analyses the intersection of typical motifs and representations in Roman art with early Christian discourse topics and narrative representations. A final chapter analyses the values represented in Pompeian dining rooms.</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lang w:val="de-DE"/>
        </w:rPr>
        <w:t xml:space="preserve">Balch, David L, and Annette Weissenrieder, eds. </w:t>
      </w:r>
      <w:r>
        <w:rPr>
          <w:rFonts w:ascii="Gentium" w:hAnsi="Gentium" w:eastAsia="Gentium" w:cs="Gentium"/>
          <w:i/>
          <w:iCs/>
        </w:rPr>
        <w:t xml:space="preserve">Contested Spaces: Houses and Temples in Roman Antiquity and the New Testament</w:t>
      </w:r>
      <w:r>
        <w:rPr>
          <w:rFonts w:ascii="Gentium" w:hAnsi="Gentium" w:eastAsia="Gentium" w:cs="Gentium"/>
        </w:rPr>
        <w:t xml:space="preserve">. </w:t>
      </w:r>
      <w:r>
        <w:rPr>
          <w:rFonts w:ascii="Gentium" w:hAnsi="Gentium" w:eastAsia="Gentium" w:cs="Gentium"/>
          <w:lang w:val="en-ZA"/>
        </w:rPr>
        <w:t xml:space="preserve">Vol. 285. Wissenschaftliche Untersuchungen zum Neuen Testament. Tübingen: Mohr Siebeck, 2012.</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lang w:val="en-ZA"/>
        </w:rPr>
        <w:t xml:space="preserve">Section A concerns interpretive issues pertaining to representations of worship and its relation to Roman interior decoration and visual representation. Secti</w:t>
      </w:r>
      <w:r>
        <w:rPr>
          <w:rFonts w:ascii="Gentium" w:hAnsi="Gentium" w:eastAsia="Gentium" w:cs="Gentium"/>
          <w:lang w:val="en-ZA"/>
        </w:rPr>
        <w:t xml:space="preserve">on B (Contested domestic spaces) surveys spatial arrangements in the domus, villae, and insulae of Roman cities. Section C (Contested sacred spaces) surveys the intersection of the discourses of temple, imperial cult, and Mithraea with Christian discourse.</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bookmarkStart w:id="16" w:name="_Toc414386059"/>
      <w:r>
        <w:rPr>
          <w:rFonts w:ascii="Gentium" w:hAnsi="Gentium" w:eastAsia="Gentium" w:cs="Gentium"/>
        </w:rPr>
        <w:t xml:space="preserve">Early Christian archaeology: specific centers of early Christianity</w:t>
      </w:r>
      <w:bookmarkEnd w:id="16"/>
      <w:r>
        <w:rPr>
          <w:rFonts w:ascii="Gentium" w:hAnsi="Gentium" w:eastAsia="Gentium" w:cs="Gentium"/>
        </w:rPr>
        <w:t xml:space="preserve"> </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right="0" w:firstLine="0" w:left="0"/>
        <w:jc w:val="both"/>
        <w:rPr>
          <w:rFonts w:ascii="Gentium" w:hAnsi="Gentium" w:cs="Gentium"/>
          <w:sz w:val="24"/>
          <w:szCs w:val="24"/>
        </w:rPr>
      </w:pPr>
      <w:r>
        <w:rPr>
          <w:rFonts w:ascii="Gentium" w:hAnsi="Gentium" w:eastAsia="Gentium" w:cs="Gentium"/>
          <w:sz w:val="24"/>
          <w:szCs w:val="24"/>
        </w:rPr>
        <w:t xml:space="preserve">As indicated in the previous section, the focus on specific centers of Christianity serves to grou</w:t>
      </w:r>
      <w:r>
        <w:rPr>
          <w:rFonts w:ascii="Gentium" w:hAnsi="Gentium" w:eastAsia="Gentium" w:cs="Gentium"/>
          <w:sz w:val="24"/>
          <w:szCs w:val="24"/>
        </w:rPr>
        <w:t xml:space="preserve">nd the study and interpretation of Christian identity and social formation in material contexts. As such they are not an external ‘extra’ to the evidence of textual discourses, but an integral part of the theorizing, analysis, and interpretation of early C</w:t>
      </w:r>
      <w:r>
        <w:rPr>
          <w:rFonts w:ascii="Gentium" w:hAnsi="Gentium" w:eastAsia="Gentium" w:cs="Gentium"/>
          <w:sz w:val="24"/>
          <w:szCs w:val="24"/>
        </w:rPr>
        <w:t xml:space="preserve">hristianities in their diverse material manifestations. Focusing on five important centres relating to early Christianity, namely Ephesos, Pergamon, Corinth, Thessaloniki, and Rome, the works of Koester, ed., Daniel N. Schowalter and Steven J. Friesen, eds</w:t>
      </w:r>
      <w:r>
        <w:rPr>
          <w:rFonts w:ascii="Gentium" w:hAnsi="Gentium" w:eastAsia="Gentium" w:cs="Gentium"/>
          <w:sz w:val="24"/>
          <w:szCs w:val="24"/>
        </w:rPr>
        <w:t xml:space="preserve">., Laura Nasrallah, Charalambos Bakirtzis, and Steven J. Friesen, eds., and Lampe draw on archaeological data to construct the social and religious contexts of these sites and to relate this to aspects of early Christianity, its practices and organization.</w:t>
      </w:r>
      <w:r>
        <w:rPr>
          <w:rFonts w:ascii="Gentium" w:hAnsi="Gentium" w:cs="Gentium"/>
          <w:sz w:val="24"/>
          <w:szCs w:val="24"/>
        </w:rPr>
      </w:r>
      <w:r>
        <w:rPr>
          <w:rFonts w:ascii="Gentium" w:hAnsi="Gentium" w:cs="Gentium"/>
          <w:sz w:val="24"/>
          <w:szCs w:val="24"/>
        </w:rPr>
      </w:r>
    </w:p>
    <w:p>
      <w:pPr>
        <w:pStyle w:val="937"/>
        <w:pBdr/>
        <w:spacing/>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right="0" w:hanging="709" w:left="709"/>
        <w:jc w:val="both"/>
        <w:rPr>
          <w:rFonts w:ascii="Gentium" w:hAnsi="Gentium" w:cs="Gentium"/>
          <w:sz w:val="24"/>
          <w:szCs w:val="24"/>
        </w:rPr>
      </w:pPr>
      <w:r>
        <w:rPr>
          <w:rFonts w:ascii="Gentium" w:hAnsi="Gentium" w:eastAsia="Gentium" w:cs="Gentium"/>
          <w:sz w:val="24"/>
          <w:szCs w:val="24"/>
        </w:rPr>
        <w:t xml:space="preserve">Koester, Helmut, ed. </w:t>
      </w:r>
      <w:r>
        <w:rPr>
          <w:rFonts w:ascii="Gentium" w:hAnsi="Gentium" w:eastAsia="Gentium" w:cs="Gentium"/>
          <w:i/>
          <w:iCs/>
          <w:sz w:val="24"/>
          <w:szCs w:val="24"/>
        </w:rPr>
        <w:t xml:space="preserve">Ephesos, Metropolis of Asia. An Interdisciplinary Approach to Its Archaeology, Religion, and Culture</w:t>
      </w:r>
      <w:r>
        <w:rPr>
          <w:rFonts w:ascii="Gentium" w:hAnsi="Gentium" w:eastAsia="Gentium" w:cs="Gentium"/>
          <w:sz w:val="24"/>
          <w:szCs w:val="24"/>
        </w:rPr>
        <w:t xml:space="preserve">. Vol. 41. Harvard Theological Studies. Valley Forge, Penn.: Trinity Press International, 1995.</w:t>
      </w:r>
      <w:r>
        <w:rPr>
          <w:rFonts w:ascii="Gentium" w:hAnsi="Gentium" w:cs="Gentium"/>
          <w:sz w:val="24"/>
          <w:szCs w:val="24"/>
        </w:rPr>
      </w:r>
      <w:r>
        <w:rPr>
          <w:rFonts w:ascii="Gentium" w:hAnsi="Gentium" w:cs="Gentium"/>
          <w:sz w:val="24"/>
          <w:szCs w:val="24"/>
        </w:rPr>
      </w:r>
    </w:p>
    <w:p>
      <w:pPr>
        <w:pStyle w:val="937"/>
        <w:pBdr/>
        <w:spacing w:line="240" w:lineRule="auto"/>
        <w:ind w:left="680"/>
        <w:jc w:val="both"/>
        <w:rPr>
          <w:rFonts w:ascii="Gentium" w:hAnsi="Gentium" w:cs="Gentium"/>
          <w:sz w:val="24"/>
          <w:szCs w:val="24"/>
        </w:rPr>
      </w:pPr>
      <w:r>
        <w:rPr>
          <w:rFonts w:ascii="Gentium" w:hAnsi="Gentium" w:eastAsia="Gentium" w:cs="Gentium"/>
          <w:sz w:val="24"/>
          <w:szCs w:val="24"/>
        </w:rPr>
        <w:t xml:space="preserve">Multidisciplinary overview of the most important arch</w:t>
      </w:r>
      <w:r>
        <w:rPr>
          <w:rFonts w:ascii="Gentium" w:hAnsi="Gentium" w:eastAsia="Gentium" w:cs="Gentium"/>
          <w:sz w:val="24"/>
          <w:szCs w:val="24"/>
        </w:rPr>
        <w:t xml:space="preserve">aeological finds of the past century setting out the material, urban context of the city of Ephesus, religious and social contexts, and the place of Christianity in that urban setting, one of the most important centers in the establishment of Christianity.</w:t>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Koester, Helmut, ed. </w:t>
      </w:r>
      <w:r>
        <w:rPr>
          <w:rFonts w:ascii="Gentium" w:hAnsi="Gentium" w:eastAsia="Gentium" w:cs="Gentium"/>
          <w:i/>
          <w:iCs/>
        </w:rPr>
        <w:t xml:space="preserve">Pergamon, Citadel of the Gods. Archaeological Record, Literary Description, and Religious Development</w:t>
      </w:r>
      <w:r>
        <w:rPr>
          <w:rFonts w:ascii="Gentium" w:hAnsi="Gentium" w:eastAsia="Gentium" w:cs="Gentium"/>
        </w:rPr>
        <w:t xml:space="preserve">. Vol. 46. Harvard Theological Studies. Valley Forge, Penn.: Trinity Press International, 1998.</w:t>
      </w:r>
      <w:r>
        <w:rPr>
          <w:rFonts w:ascii="Gentium" w:hAnsi="Gentium" w:cs="Gentium"/>
        </w:rPr>
      </w:r>
      <w:r>
        <w:rPr>
          <w:rFonts w:ascii="Gentium" w:hAnsi="Gentium" w:cs="Gentium"/>
        </w:rPr>
      </w:r>
    </w:p>
    <w:p>
      <w:pPr>
        <w:pStyle w:val="1016"/>
        <w:pBdr/>
        <w:spacing w:after="0" w:afterAutospacing="0" w:before="0" w:beforeAutospacing="0"/>
        <w:ind w:right="0" w:firstLine="0" w:left="680"/>
        <w:jc w:val="both"/>
        <w:rPr>
          <w:rFonts w:ascii="Gentium" w:hAnsi="Gentium" w:cs="Gentium"/>
        </w:rPr>
      </w:pPr>
      <w:r>
        <w:rPr>
          <w:rFonts w:ascii="Gentium" w:hAnsi="Gentium" w:eastAsia="Gentium" w:cs="Gentium"/>
        </w:rPr>
        <w:t xml:space="preserve">Presentation of archaeological work in the site of ancient Pergamon including descriptions of the ancient city's famous temples and sanctuaries, with extensive discussions of </w:t>
      </w:r>
      <w:r>
        <w:rPr>
          <w:rFonts w:ascii="Gentium" w:hAnsi="Gentium" w:eastAsia="Gentium" w:cs="Gentium"/>
        </w:rPr>
        <w:t xml:space="preserve">Roman imperial shaping of the urban environment, and its effects on religious institutions and organizations. The city was a center of the Roman imperial cult and early center of Christianity, mentioned in Revelation 2 as one of the seven churches in Asia.</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Schowalter, Daniel N., and Steven J. Friesen, eds. </w:t>
      </w:r>
      <w:r>
        <w:rPr>
          <w:rFonts w:ascii="Gentium" w:hAnsi="Gentium" w:eastAsia="Gentium" w:cs="Gentium"/>
          <w:i/>
          <w:iCs/>
        </w:rPr>
        <w:t xml:space="preserve">Urban Religion in Roman Corinth: Interdisciplinary Approaches</w:t>
      </w:r>
      <w:r>
        <w:rPr>
          <w:rFonts w:ascii="Gentium" w:hAnsi="Gentium" w:eastAsia="Gentium" w:cs="Gentium"/>
        </w:rPr>
        <w:t xml:space="preserve">. Harvard Theological Studies 53. Cambridge, Mass. ; London: Harvard University Press, 2005.</w:t>
      </w:r>
      <w:r>
        <w:rPr>
          <w:rFonts w:ascii="Gentium" w:hAnsi="Gentium" w:cs="Gentium"/>
        </w:rPr>
      </w:r>
      <w:r>
        <w:rPr>
          <w:rFonts w:ascii="Gentium" w:hAnsi="Gentium" w:cs="Gentium"/>
        </w:rPr>
      </w:r>
    </w:p>
    <w:p>
      <w:pPr>
        <w:pStyle w:val="1016"/>
        <w:pBdr/>
        <w:spacing w:after="0" w:afterAutospacing="0" w:before="0" w:beforeAutospacing="0"/>
        <w:ind w:right="0" w:firstLine="0" w:left="680"/>
        <w:jc w:val="both"/>
        <w:rPr>
          <w:rFonts w:ascii="Gentium" w:hAnsi="Gentium" w:cs="Gentium"/>
        </w:rPr>
      </w:pPr>
      <w:r>
        <w:rPr>
          <w:rFonts w:ascii="Gentium" w:hAnsi="Gentium" w:eastAsia="Gentium" w:cs="Gentium"/>
        </w:rPr>
        <w:t xml:space="preserve">The history, topography, and</w:t>
      </w:r>
      <w:r>
        <w:rPr>
          <w:rFonts w:ascii="Gentium" w:hAnsi="Gentium" w:eastAsia="Gentium" w:cs="Gentium"/>
        </w:rPr>
        <w:t xml:space="preserve"> urban development of Corinth together with investigations of civic and private religious practices form the context to interpret the urban environment in which the apostle Paul operated. Seeks to explain how Christianity emerged as the dominant religion. </w:t>
      </w:r>
      <w:r>
        <w:rPr>
          <w:rFonts w:ascii="Gentium" w:hAnsi="Gentium" w:cs="Gentium"/>
        </w:rPr>
      </w:r>
      <w:r>
        <w:rPr>
          <w:rFonts w:ascii="Gentium" w:hAnsi="Gentium" w:cs="Gentium"/>
        </w:rPr>
      </w:r>
    </w:p>
    <w:p>
      <w:pPr>
        <w:pStyle w:val="1016"/>
        <w:pBdr/>
        <w:spacing w:after="0" w:afterAutospacing="0" w:before="0" w:beforeAutospacing="0"/>
        <w:ind w:right="0" w:firstLine="0" w:left="680"/>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Nasrallah, Laura, Charalambos Bakirtzis, and Steven J. Friesen, eds. </w:t>
      </w:r>
      <w:r>
        <w:rPr>
          <w:rFonts w:ascii="Gentium" w:hAnsi="Gentium" w:eastAsia="Gentium" w:cs="Gentium"/>
          <w:i/>
          <w:iCs/>
        </w:rPr>
        <w:t xml:space="preserve">From Roman to Early Christian Thessalonike: Studies in Religion and Archaeology</w:t>
      </w:r>
      <w:r>
        <w:rPr>
          <w:rFonts w:ascii="Gentium" w:hAnsi="Gentium" w:eastAsia="Gentium" w:cs="Gentium"/>
        </w:rPr>
        <w:t xml:space="preserve">. Vol. 64. Harvard Theological Studies. Cambridge, Mass. ; London: Harvard University Press, 2010.</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Investigates the social, political, and religious life in Roman and early Christian Thessalonike, the first ‘Christian’ city in Europe. It situates Christian practices and disco</w:t>
      </w:r>
      <w:r>
        <w:rPr>
          <w:rFonts w:ascii="Gentium" w:hAnsi="Gentium" w:eastAsia="Gentium" w:cs="Gentium"/>
        </w:rPr>
        <w:t xml:space="preserve">urses in the urban context of Thessaloniki, and profiles these against the material culture obtaining in the city up to the Byzantine period. Focuses on how the formation and institutionalization of Christian identity helped make the city a Christian city.</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Lampe, Peter. </w:t>
      </w:r>
      <w:r>
        <w:rPr>
          <w:rFonts w:ascii="Gentium" w:hAnsi="Gentium" w:eastAsia="Gentium" w:cs="Gentium"/>
          <w:i/>
          <w:iCs/>
        </w:rPr>
        <w:t xml:space="preserve">From Paul to Valentinus: Christians at Rome in the First Two Centuries</w:t>
      </w:r>
      <w:r>
        <w:rPr>
          <w:rFonts w:ascii="Gentium" w:hAnsi="Gentium" w:eastAsia="Gentium" w:cs="Gentium"/>
        </w:rPr>
        <w:t xml:space="preserve">. Translated by Michael Steinhauser. Edited by Marshall D. Johnson. Minneapolis, Minn.: Fortress Press, 2003.</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Presents the history of Christian groups in Rome indicating their topographical spread an</w:t>
      </w:r>
      <w:r>
        <w:rPr>
          <w:rFonts w:ascii="Gentium" w:hAnsi="Gentium" w:eastAsia="Gentium" w:cs="Gentium"/>
        </w:rPr>
        <w:t xml:space="preserve">d social strata occupied, investigating evidence of known figures, leaders, named persons and groups. A last section on fractions and diversity in Christian cult groups in Rome, contestations, issues of governance and exercise of authority closes the book.</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bookmarkStart w:id="17" w:name="_Toc414386060"/>
      <w:r>
        <w:rPr>
          <w:rFonts w:ascii="Gentium" w:hAnsi="Gentium" w:eastAsia="Gentium" w:cs="Gentium"/>
          <w:lang w:val="en-ZA"/>
        </w:rPr>
        <w:t xml:space="preserve">Early Christian Art and Iconography</w:t>
      </w:r>
      <w:bookmarkEnd w:id="17"/>
      <w:r>
        <w:rPr>
          <w:rFonts w:ascii="Gentium" w:hAnsi="Gentium" w:cs="Gentium"/>
        </w:rPr>
      </w:r>
      <w:r>
        <w:rPr>
          <w:rFonts w:ascii="Gentium" w:hAnsi="Gentium" w:cs="Gentium"/>
        </w:rPr>
      </w:r>
    </w:p>
    <w:p>
      <w:pPr>
        <w:pStyle w:val="1016"/>
        <w:pBdr/>
        <w:spacing w:after="0" w:afterAutospacing="0" w:before="0" w:beforeAutospacing="0"/>
        <w:ind w:right="0" w:firstLine="709" w:left="0"/>
        <w:jc w:val="both"/>
        <w:rPr>
          <w:rFonts w:ascii="Gentium" w:hAnsi="Gentium" w:cs="Gentium"/>
          <w:i/>
        </w:rPr>
      </w:pPr>
      <w:r>
        <w:rPr>
          <w:rFonts w:ascii="Gentium" w:hAnsi="Gentium" w:cs="Gentium"/>
          <w:i/>
        </w:rPr>
      </w:r>
      <w:r>
        <w:rPr>
          <w:rFonts w:ascii="Gentium" w:hAnsi="Gentium" w:cs="Gentium"/>
          <w:i/>
        </w:rPr>
      </w:r>
      <w:r>
        <w:rPr>
          <w:rFonts w:ascii="Gentium" w:hAnsi="Gentium" w:cs="Gentium"/>
          <w:i/>
        </w:rPr>
      </w:r>
    </w:p>
    <w:p>
      <w:pPr>
        <w:pStyle w:val="1016"/>
        <w:pBdr/>
        <w:spacing w:after="0" w:afterAutospacing="0" w:before="0" w:beforeAutospacing="0"/>
        <w:ind/>
        <w:jc w:val="both"/>
        <w:rPr>
          <w:rFonts w:ascii="Gentium" w:hAnsi="Gentium" w:cs="Gentium"/>
        </w:rPr>
      </w:pPr>
      <w:r>
        <w:rPr>
          <w:rFonts w:ascii="Gentium" w:hAnsi="Gentium" w:eastAsia="Gentium" w:cs="Gentium"/>
          <w:lang w:val="en-ZA"/>
        </w:rPr>
        <w:t xml:space="preserve">Grabar is the classical work on Christian iconography. Jensen is well-known for her expertise on early Christian art. Her thre</w:t>
      </w:r>
      <w:r>
        <w:rPr>
          <w:rFonts w:ascii="Gentium" w:hAnsi="Gentium" w:eastAsia="Gentium" w:cs="Gentium"/>
          <w:lang w:val="en-ZA"/>
        </w:rPr>
        <w:t xml:space="preserve">e works listed here focus on different aspects of early Christian artistic representations and their interpretation. Spier covers the history of Christian art at its beginning in the third century as well as the sources for Christian artistic depictions (s</w:t>
      </w:r>
      <w:r>
        <w:rPr>
          <w:rFonts w:ascii="Gentium" w:hAnsi="Gentium" w:eastAsia="Gentium" w:cs="Gentium"/>
          <w:lang w:val="en-ZA"/>
        </w:rPr>
        <w:t xml:space="preserve">ymbols, motifs, narratives) including the interpretation of these, church decorations and manuscript illustrations with overviews of archaeological research. A very different perspective is offered by Elsner. He surveys the role of art in making and mainta</w:t>
      </w:r>
      <w:r>
        <w:rPr>
          <w:rFonts w:ascii="Gentium" w:hAnsi="Gentium" w:eastAsia="Gentium" w:cs="Gentium"/>
          <w:lang w:val="en-ZA"/>
        </w:rPr>
        <w:t xml:space="preserve">ining ‘Romanness’ and thus in the making of the Roman Empire, the role of art in religious formations, and the role of art in the successful through-set of Christianity in the newly Christianised Roman Empire. Kirschbaum, Bandmann, and Braunfels, eds., hav</w:t>
      </w:r>
      <w:r>
        <w:rPr>
          <w:rFonts w:ascii="Gentium" w:hAnsi="Gentium" w:eastAsia="Gentium" w:cs="Gentium"/>
          <w:lang w:val="en-ZA"/>
        </w:rPr>
        <w:t xml:space="preserve">e been for four decades a standard encyclopaedic reference work on Christian iconography. It covers all periods from late antiquity to the present, with the last four volumes devoted to the iconography of saints. A new ten volume edition is in preparation.</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color w:val="000000" w:themeColor="text1"/>
        </w:rPr>
      </w:pPr>
      <w:r>
        <w:rPr>
          <w:rFonts w:ascii="Gentium" w:hAnsi="Gentium" w:cs="Gentium"/>
          <w:color w:val="000000" w:themeColor="text1"/>
        </w:rPr>
      </w:r>
      <w:r>
        <w:rPr>
          <w:rFonts w:ascii="Gentium" w:hAnsi="Gentium" w:cs="Gentium"/>
          <w:color w:val="000000" w:themeColor="text1"/>
        </w:rPr>
      </w:r>
      <w:r>
        <w:rPr>
          <w:rFonts w:ascii="Gentium" w:hAnsi="Gentium" w:cs="Gentium"/>
          <w:color w:val="000000" w:themeColor="text1"/>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Grabar, André. </w:t>
      </w:r>
      <w:r>
        <w:rPr>
          <w:rFonts w:ascii="Gentium" w:hAnsi="Gentium" w:eastAsia="Gentium" w:cs="Gentium"/>
          <w:i/>
          <w:iCs/>
        </w:rPr>
        <w:t xml:space="preserve">Christian Iconography: A Study of Its Origins</w:t>
      </w:r>
      <w:r>
        <w:rPr>
          <w:rFonts w:ascii="Gentium" w:hAnsi="Gentium" w:eastAsia="Gentium" w:cs="Gentium"/>
        </w:rPr>
        <w:t xml:space="preserve">. Vol. 10. A.W. Mellon Lectures in the Fine Arts. Taylor &amp; Francis, 1980.</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Richly illustrated interpretation of the origins of Christian imagery and their relation to other forms of piety. Part one deals with the formation of distinctive Christian iconography through assimilation of contemporary i</w:t>
      </w:r>
      <w:r>
        <w:rPr>
          <w:rFonts w:ascii="Gentium" w:hAnsi="Gentium" w:eastAsia="Gentium" w:cs="Gentium"/>
        </w:rPr>
        <w:t xml:space="preserve">magery. Part two sets out Christian use of portraits and narrative representations, showing the significance of imperial iconography in the making of Christian imagery. Part three considers the expression of Christian doctrines in image and representation.</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Jensen, Robin Margaret. </w:t>
      </w:r>
      <w:r>
        <w:rPr>
          <w:rFonts w:ascii="Gentium" w:hAnsi="Gentium" w:eastAsia="Gentium" w:cs="Gentium"/>
          <w:i/>
          <w:iCs/>
          <w:sz w:val="24"/>
          <w:szCs w:val="24"/>
        </w:rPr>
        <w:t xml:space="preserve">Face to Face: Portraits of the Divine in Early Christianity</w:t>
      </w:r>
      <w:r>
        <w:rPr>
          <w:rFonts w:ascii="Gentium" w:hAnsi="Gentium" w:eastAsia="Gentium" w:cs="Gentium"/>
          <w:sz w:val="24"/>
          <w:szCs w:val="24"/>
        </w:rPr>
        <w:t xml:space="preserve">. Minneapolis, Minn.: Fortress Press, 2005.</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The book focuses on images and portraiture in the Graeco-Roman world, with special reference to saviours and philosophers, emperors and gods a</w:t>
      </w:r>
      <w:r>
        <w:rPr>
          <w:rFonts w:ascii="Gentium" w:hAnsi="Gentium" w:eastAsia="Gentium" w:cs="Gentium"/>
          <w:sz w:val="24"/>
          <w:szCs w:val="24"/>
        </w:rPr>
        <w:t xml:space="preserve">s the context for a Christian discourse on portraying the divine. Later Christian controversies regarding the portrayal of God are discussed as well as the intersection of imagery with theology. Concludes with portraits of saints and the issue of likeness.</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Jensen, Robin Margaret. </w:t>
      </w:r>
      <w:r>
        <w:rPr>
          <w:rFonts w:ascii="Gentium" w:hAnsi="Gentium" w:eastAsia="Gentium" w:cs="Gentium"/>
          <w:i/>
          <w:iCs/>
        </w:rPr>
        <w:t xml:space="preserve">Understanding Early Christian Art</w:t>
      </w:r>
      <w:r>
        <w:rPr>
          <w:rFonts w:ascii="Gentium" w:hAnsi="Gentium" w:eastAsia="Gentium" w:cs="Gentium"/>
        </w:rPr>
        <w:t xml:space="preserve">. London; New York, N.Y.: Routledge, 2000.</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This introduces the study of early Christian iconography and its interpreta</w:t>
      </w:r>
      <w:r>
        <w:rPr>
          <w:rFonts w:ascii="Gentium" w:hAnsi="Gentium" w:eastAsia="Gentium" w:cs="Gentium"/>
        </w:rPr>
        <w:t xml:space="preserve">tion, and also extensively interprets Christian use of classical symbols and motifs as well as images of biblical narratives. An important section interprets images of Jesus Christ from wonder worker to imperial Christ as well as key theological concepts. </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Spier, Jeffrey, </w:t>
      </w:r>
      <w:r>
        <w:rPr>
          <w:rFonts w:ascii="Gentium" w:hAnsi="Gentium" w:eastAsia="Gentium" w:cs="Gentium"/>
          <w:color w:val="000000" w:themeColor="text1"/>
          <w:sz w:val="24"/>
          <w:szCs w:val="24"/>
          <w:shd w:val="clear" w:color="auto" w:fill="ffffff"/>
        </w:rPr>
        <w:t xml:space="preserve">with contributions by Herbert L. Kessler, Steven Fine, Robin M. Jensen, Johannes G. Deckers, Mary Charles-Murray et al</w:t>
      </w:r>
      <w:r>
        <w:rPr>
          <w:rFonts w:ascii="Gentium" w:hAnsi="Gentium" w:eastAsia="Gentium" w:cs="Gentium"/>
          <w:color w:val="000000" w:themeColor="text1"/>
          <w:sz w:val="24"/>
          <w:szCs w:val="24"/>
        </w:rPr>
        <w:t xml:space="preserve">.</w:t>
      </w:r>
      <w:r>
        <w:rPr>
          <w:rFonts w:ascii="Gentium" w:hAnsi="Gentium" w:eastAsia="Gentium" w:cs="Gentium"/>
          <w:sz w:val="24"/>
          <w:szCs w:val="24"/>
        </w:rPr>
        <w:t xml:space="preserve"> </w:t>
      </w:r>
      <w:r>
        <w:rPr>
          <w:rFonts w:ascii="Gentium" w:hAnsi="Gentium" w:eastAsia="Gentium" w:cs="Gentium"/>
          <w:i/>
          <w:iCs/>
          <w:sz w:val="24"/>
          <w:szCs w:val="24"/>
        </w:rPr>
        <w:t xml:space="preserve">Picturing the Bible. The Earliest Christian Art</w:t>
      </w:r>
      <w:r>
        <w:rPr>
          <w:rFonts w:ascii="Gentium" w:hAnsi="Gentium" w:eastAsia="Gentium" w:cs="Gentium"/>
          <w:sz w:val="24"/>
          <w:szCs w:val="24"/>
        </w:rPr>
        <w:t xml:space="preserve">. New Haven, Conn.; London: Yale University Press, 2009.</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Published version of the exhibition catalogue (</w:t>
      </w:r>
      <w:r>
        <w:rPr>
          <w:rFonts w:ascii="Gentium" w:hAnsi="Gentium" w:eastAsia="Gentium" w:cs="Gentium"/>
          <w:sz w:val="24"/>
          <w:szCs w:val="24"/>
          <w:lang w:val="en-ZA" w:eastAsia="en-ZA"/>
        </w:rPr>
        <w:t xml:space="preserve">Kimbell Art Museum, Fort Worth, Texas;</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2007—2008). Ranging from the first century to the eighth century, and covering most of the Chr</w:t>
      </w:r>
      <w:r>
        <w:rPr>
          <w:rFonts w:ascii="Gentium" w:hAnsi="Gentium" w:eastAsia="Gentium" w:cs="Gentium"/>
          <w:sz w:val="24"/>
          <w:szCs w:val="24"/>
        </w:rPr>
        <w:t xml:space="preserve">istian Graeco-Roman world, the book introduces  a wide range of representative examples of visual artifacts. Informed by archaeology the essays interpret the early Christian appropriation and invention of images in the pre- and post-Constantinian periods. </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Jensen, Robin Margaret. </w:t>
      </w:r>
      <w:r>
        <w:rPr>
          <w:rFonts w:ascii="Gentium" w:hAnsi="Gentium" w:eastAsia="Gentium" w:cs="Gentium"/>
          <w:i/>
          <w:iCs/>
        </w:rPr>
        <w:t xml:space="preserve">Baptismal Imagery in Early Christianity. Ritual, Visual, and Theological Dimensions</w:t>
      </w:r>
      <w:r>
        <w:rPr>
          <w:rFonts w:ascii="Gentium" w:hAnsi="Gentium" w:eastAsia="Gentium" w:cs="Gentium"/>
        </w:rPr>
        <w:t xml:space="preserve">. Grand Rapids, Mich.: Baker Academic, 2012.</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Chapters interpret the intersection of scriptural discourse with architectural space, ritual practice and pictorial</w:t>
      </w:r>
      <w:r>
        <w:rPr>
          <w:rFonts w:ascii="Gentium" w:hAnsi="Gentium" w:eastAsia="Gentium" w:cs="Gentium"/>
        </w:rPr>
        <w:t xml:space="preserve"> representation of early Christian baptism with respect to five models for understanding baptism: baptism as cleansing from sin and sickness; as incorporation into the community; as sanctification and illumination; as dying and rising; and as new creation.</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37"/>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Elsner, Jaś. </w:t>
      </w:r>
      <w:r>
        <w:rPr>
          <w:rFonts w:ascii="Gentium" w:hAnsi="Gentium" w:eastAsia="Gentium" w:cs="Gentium"/>
          <w:i/>
          <w:iCs/>
          <w:sz w:val="24"/>
          <w:szCs w:val="24"/>
        </w:rPr>
        <w:t xml:space="preserve">Imperial Rome and Christian Triumph: The Art of the Roman Empire AD 100-450</w:t>
      </w:r>
      <w:r>
        <w:rPr>
          <w:rFonts w:ascii="Gentium" w:hAnsi="Gentium" w:eastAsia="Gentium" w:cs="Gentium"/>
          <w:sz w:val="24"/>
          <w:szCs w:val="24"/>
        </w:rPr>
        <w:t xml:space="preserve">. Oxford History of Art. Oxford; New York, N.Y.: Oxford University Press, 1998.</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The book is about the role and history of visual arts in Roman culture and its role in the promotion of imperial power. It also focuses on the</w:t>
      </w:r>
      <w:r>
        <w:rPr>
          <w:rFonts w:ascii="Gentium" w:hAnsi="Gentium" w:eastAsia="Gentium" w:cs="Gentium"/>
          <w:sz w:val="24"/>
          <w:szCs w:val="24"/>
        </w:rPr>
        <w:t xml:space="preserve"> role of Roman art in the construction of identity and Romanness. It offers an important contribution on artistic representations  indexing transformations in religion, especially new forms of religiosity from ‘oriental’ and mystery cults to Christianity. </w:t>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eastAsia="Gentium" w:cs="Gentium"/>
          <w:sz w:val="24"/>
          <w:szCs w:val="24"/>
          <w:lang w:val="de-DE"/>
        </w:rPr>
        <w:t xml:space="preserve">Kirschbaum, Engelbert, Günter Bandmann, and Wolfgang Braunfels. </w:t>
      </w:r>
      <w:r>
        <w:rPr>
          <w:rFonts w:ascii="Gentium" w:hAnsi="Gentium" w:eastAsia="Gentium" w:cs="Gentium"/>
          <w:i/>
          <w:iCs/>
          <w:sz w:val="24"/>
          <w:szCs w:val="24"/>
          <w:lang w:val="de-DE"/>
        </w:rPr>
        <w:t xml:space="preserve">Lexikon der christlichen Ikonographie</w:t>
      </w:r>
      <w:r>
        <w:rPr>
          <w:rFonts w:ascii="Gentium" w:hAnsi="Gentium" w:eastAsia="Gentium" w:cs="Gentium"/>
          <w:sz w:val="24"/>
          <w:szCs w:val="24"/>
          <w:lang w:val="de-DE"/>
        </w:rPr>
        <w:t xml:space="preserve">. 8 vols. </w:t>
      </w:r>
      <w:r>
        <w:rPr>
          <w:rFonts w:ascii="Gentium" w:hAnsi="Gentium" w:eastAsia="Gentium" w:cs="Gentium"/>
          <w:sz w:val="24"/>
          <w:szCs w:val="24"/>
        </w:rPr>
        <w:t xml:space="preserve">Revised edition. Freiburg: Herder, 1990.</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Covering the whole history of Christian iconography from the early centuries to the present so that entries on early Christian representations need to be specifically searched out. The Lexikon </w:t>
      </w:r>
      <w:r>
        <w:rPr>
          <w:rFonts w:ascii="Gentium" w:hAnsi="Gentium" w:eastAsia="Gentium" w:cs="Gentium"/>
          <w:sz w:val="24"/>
          <w:szCs w:val="24"/>
        </w:rPr>
        <w:t xml:space="preserve">consists of two parts: part one (volumes 1 – 4) focuses on general iconography, while part two (volumes 5 – 8) focuses on iconography of saints. (A completely new and reworked edition is planned for publication from 2012 – 2019 to comprise ca. 10 volumes.)</w:t>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0"/>
        <w:pBdr/>
        <w:spacing/>
        <w:ind/>
        <w:rPr>
          <w:rFonts w:ascii="Gentium" w:hAnsi="Gentium" w:cs="Gentium"/>
        </w:rPr>
      </w:pPr>
      <w:r/>
      <w:bookmarkStart w:id="18" w:name="_Toc414386061"/>
      <w:r>
        <w:rPr>
          <w:rFonts w:ascii="Gentium" w:hAnsi="Gentium" w:eastAsia="Gentium" w:cs="Gentium"/>
        </w:rPr>
        <w:t xml:space="preserve">D</w:t>
      </w:r>
      <w:r>
        <w:rPr>
          <w:rFonts w:ascii="Gentium" w:hAnsi="Gentium" w:eastAsia="Gentium" w:cs="Gentium"/>
          <w:lang w:val="en-US"/>
        </w:rPr>
        <w:t xml:space="preserve">iversity in Early Christianity</w:t>
      </w:r>
      <w:bookmarkEnd w:id="18"/>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rPr>
        <w:t xml:space="preserve">The character of early Christianity remains a contested terrain, with two broad scholarly traditions discernible. On the one hand, there is an emphasis on the essential unity of early Christianity as expres</w:t>
      </w:r>
      <w:r>
        <w:rPr>
          <w:rFonts w:ascii="Gentium" w:hAnsi="Gentium" w:eastAsia="Gentium" w:cs="Gentium"/>
        </w:rPr>
        <w:t xml:space="preserve">sed in a limited range of attitudes to Jesus Christ (however this is defined, e.g., core creedal statements, belief practices, spirit experiences) with a clear demarcation from marginal, non-orthodox groups, scriptures, and traditions. In this view there i</w:t>
      </w:r>
      <w:r>
        <w:rPr>
          <w:rFonts w:ascii="Gentium" w:hAnsi="Gentium" w:eastAsia="Gentium" w:cs="Gentium"/>
        </w:rPr>
        <w:t xml:space="preserve">s a linear development from the figure of Jesus Christ through the apostolic and post-apostolic eras over the various later councils and thus constituted a tradition of orthodox Christianity from the beginning, or at least features that allow for a positin</w:t>
      </w:r>
      <w:r>
        <w:rPr>
          <w:rFonts w:ascii="Gentium" w:hAnsi="Gentium" w:eastAsia="Gentium" w:cs="Gentium"/>
        </w:rPr>
        <w:t xml:space="preserve">g of a unifying strand in the multiple traditioning. On the other hand, the opposite view holds that first came diversity with the multiple group formations of a wide variety of Christ cult groups, many of which espoused discourses and practices that later</w:t>
      </w:r>
      <w:r>
        <w:rPr>
          <w:rFonts w:ascii="Gentium" w:hAnsi="Gentium" w:eastAsia="Gentium" w:cs="Gentium"/>
        </w:rPr>
        <w:t xml:space="preserve"> were considered unorthodox or heretics. In this view orthodox Christianity was the product of intentional practices of boundary drawing at later stages of the formation of early Christianity which resulted in the main doctrinal positions formulated in the</w:t>
      </w:r>
      <w:r>
        <w:rPr>
          <w:rFonts w:ascii="Gentium" w:hAnsi="Gentium" w:eastAsia="Gentium" w:cs="Gentium"/>
        </w:rPr>
        <w:t xml:space="preserve"> important church councils. However one wishes to understand the issue of diversity in early Christianity, it is a central issue in the conceptualization of the history of early Christianity/-ies, early Christian identity formations, and Christian origins.</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bookmarkStart w:id="19" w:name="_Toc414386062"/>
      <w:r>
        <w:rPr>
          <w:rFonts w:ascii="Gentium" w:hAnsi="Gentium" w:eastAsia="Gentium" w:cs="Gentium"/>
        </w:rPr>
        <w:t xml:space="preserve">Unity or diversity in the conceptualization of the formation of early Christianity</w:t>
      </w:r>
      <w:bookmarkEnd w:id="19"/>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iCs/>
        </w:rPr>
      </w:pPr>
      <w:r>
        <w:rPr>
          <w:rFonts w:ascii="Gentium" w:hAnsi="Gentium" w:eastAsia="Gentium" w:cs="Gentium"/>
        </w:rPr>
        <w:t xml:space="preserve">In the context of modern scholarship on early Christianity, the work by Bauer has become a classic, and one which still sets the terms for debate and functions as point of reference. Bauer was responsible for making the view dominant that orthodoxy d</w:t>
      </w:r>
      <w:r>
        <w:rPr>
          <w:rFonts w:ascii="Gentium" w:hAnsi="Gentium" w:eastAsia="Gentium" w:cs="Gentium"/>
        </w:rPr>
        <w:t xml:space="preserve">id not exist in the first two centuries of the Christian era but was a later development. Bauer argued that often what is later called heresy actually precedes orthodoxy in a given setting. Lüdemann takes up Bauer’s project with affirmation and argues that</w:t>
      </w:r>
      <w:r>
        <w:rPr>
          <w:rFonts w:ascii="Gentium" w:hAnsi="Gentium" w:eastAsia="Gentium" w:cs="Gentium"/>
        </w:rPr>
        <w:t xml:space="preserve"> ‘heresy’ is – for the first two Christian centuries – descriptive of and an essential part of the reception history of Jesus traditions. The first two centuries were defined by struggle by various groups for doctrinal authority (and thus far from a pure, </w:t>
      </w:r>
      <w:r>
        <w:rPr>
          <w:rFonts w:ascii="Gentium" w:hAnsi="Gentium" w:eastAsia="Gentium" w:cs="Gentium"/>
        </w:rPr>
        <w:t xml:space="preserve">harmonious beginning), a process in which some early tradition formations, later labeled heretic, actually represented a more authentic and original form of Christian tradition. Lüdemann argues that second century heresiologists like Irenaeus and Tertullia</w:t>
      </w:r>
      <w:r>
        <w:rPr>
          <w:rFonts w:ascii="Gentium" w:hAnsi="Gentium" w:eastAsia="Gentium" w:cs="Gentium"/>
        </w:rPr>
        <w:t xml:space="preserve">n helped to effect the inversion. Ehrman and Riley present the case for wide-ranging early diversity in early Christianity with a resulting multiplicity of Christianities in a more popular manner. Riley answers the question on the origins of Christianity (</w:t>
      </w:r>
      <w:r>
        <w:rPr>
          <w:rFonts w:ascii="Gentium" w:hAnsi="Gentium" w:eastAsia="Gentium" w:cs="Gentium"/>
          <w:i/>
        </w:rPr>
        <w:t xml:space="preserve">One Jesus, Many Christs</w:t>
      </w:r>
      <w:r>
        <w:rPr>
          <w:rFonts w:ascii="Gentium" w:hAnsi="Gentium" w:eastAsia="Gentium" w:cs="Gentium"/>
        </w:rPr>
        <w:t xml:space="preserve">) w</w:t>
      </w:r>
      <w:r>
        <w:rPr>
          <w:rFonts w:ascii="Gentium" w:hAnsi="Gentium" w:eastAsia="Gentium" w:cs="Gentium"/>
        </w:rPr>
        <w:t xml:space="preserve">ith reference to the early Christian focus on the figure of Jesus Christ stressing the multiple kinds of Christianities arising from diverse religious and interactional contexts. Ehrman portrays in broad swaths the Christianities that got lost in the proce</w:t>
      </w:r>
      <w:r>
        <w:rPr>
          <w:rFonts w:ascii="Gentium" w:hAnsi="Gentium" w:eastAsia="Gentium" w:cs="Gentium"/>
        </w:rPr>
        <w:t xml:space="preserve">ss of making orthodoxy and presents the period as an environment rich in invention of tradition and scripture-making of many kinds. He then traces the process of construction of orthodoxy through contention, authorization, and establishing a scriptural can</w:t>
      </w:r>
      <w:r>
        <w:rPr>
          <w:rFonts w:ascii="Gentium" w:hAnsi="Gentium" w:eastAsia="Gentium" w:cs="Gentium"/>
        </w:rPr>
        <w:t xml:space="preserve">on, and finally, considers the significance of the outcome of this process. By contrast, Dunn is the classic statement of a more nuanced view, namely of unity in diversity, or diversity in essential unity in the development of early Christian discourse and</w:t>
      </w:r>
      <w:r>
        <w:rPr>
          <w:rFonts w:ascii="Gentium" w:hAnsi="Gentium" w:eastAsia="Gentium" w:cs="Gentium"/>
        </w:rPr>
        <w:t xml:space="preserve"> praxis. Whereas other writers stress irreducible multiplicity and diversity – and from these conclude to diverse Christianities – Dunn, taking up the challenge of Bauer (for the second century) and F. C. Baur (for the first century), instead asks whether </w:t>
      </w:r>
      <w:r>
        <w:rPr>
          <w:rFonts w:ascii="Gentium" w:hAnsi="Gentium" w:eastAsia="Gentium" w:cs="Gentium"/>
          <w:iCs/>
          <w:lang w:val="en-ZA"/>
        </w:rPr>
        <w:t xml:space="preserve">there was a unifying strand in earliest Christianity which identifies it</w:t>
      </w:r>
      <w:r>
        <w:rPr>
          <w:rFonts w:ascii="Gentium" w:hAnsi="Gentium" w:eastAsia="Gentium" w:cs="Gentium"/>
          <w:iCs/>
          <w:lang w:val="en-ZA"/>
        </w:rPr>
        <w:t xml:space="preserve"> as Christianity and of which nature this ‘unifying strand’ was. He investigates several topical areas for exemplifying some kind of unity, and also devotes a significant section of the book to discussion of the nature of the various kinds of Christianity.</w:t>
      </w:r>
      <w:r>
        <w:rPr>
          <w:rFonts w:ascii="Gentium" w:hAnsi="Gentium" w:cs="Gentium"/>
          <w:iCs/>
        </w:rPr>
      </w:r>
      <w:r>
        <w:rPr>
          <w:rFonts w:ascii="Gentium" w:hAnsi="Gentium" w:cs="Gentium"/>
          <w:iCs/>
        </w:rPr>
      </w:r>
    </w:p>
    <w:p>
      <w:pPr>
        <w:pStyle w:val="1016"/>
        <w:pBdr/>
        <w:spacing w:after="0" w:afterAutospacing="0" w:before="0" w:beforeAutospacing="0"/>
        <w:ind/>
        <w:jc w:val="both"/>
        <w:rPr>
          <w:rFonts w:ascii="Gentium" w:hAnsi="Gentium" w:cs="Gentium"/>
          <w:iCs/>
        </w:rPr>
      </w:pPr>
      <w:r>
        <w:rPr>
          <w:rFonts w:ascii="Gentium" w:hAnsi="Gentium" w:cs="Gentium"/>
          <w:iCs/>
        </w:rPr>
      </w:r>
      <w:r>
        <w:rPr>
          <w:rFonts w:ascii="Gentium" w:hAnsi="Gentium" w:cs="Gentium"/>
          <w:iCs/>
        </w:rPr>
      </w:r>
      <w:r>
        <w:rPr>
          <w:rFonts w:ascii="Gentium" w:hAnsi="Gentium" w:cs="Gentium"/>
          <w:iCs/>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Bauer, Walter. </w:t>
      </w:r>
      <w:r>
        <w:rPr>
          <w:rFonts w:ascii="Gentium" w:hAnsi="Gentium" w:eastAsia="Gentium" w:cs="Gentium"/>
          <w:i/>
          <w:iCs/>
        </w:rPr>
        <w:t xml:space="preserve">Orthodoxy and Heresy in Earliest Christianity</w:t>
      </w:r>
      <w:r>
        <w:rPr>
          <w:rFonts w:ascii="Gentium" w:hAnsi="Gentium" w:eastAsia="Gentium" w:cs="Gentium"/>
        </w:rPr>
        <w:t xml:space="preserve">. Edited by Robert A. Kraft and Gerhard Krodel. Philadelphia, Pa.: Fortress Press, 1971.</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Bauer characterizes the diverse Christianities in Syria, Egypt, Macedonia, and Asia Minor in relation to the growing importance of the church of Rome. His thesis then</w:t>
      </w:r>
      <w:r>
        <w:rPr>
          <w:rFonts w:ascii="Gentium" w:hAnsi="Gentium" w:eastAsia="Gentium" w:cs="Gentium"/>
        </w:rPr>
        <w:t xml:space="preserve"> takes in the polemics governing the definition of Christianity and the beginning of canon formation, ending with his classic statement on the beginnings of orthodoxy and heresy. The appendix on the reception history of Bauer’s book and thesis is valuable.</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Lüdemann, Gerd. </w:t>
      </w:r>
      <w:r>
        <w:rPr>
          <w:rFonts w:ascii="Gentium" w:hAnsi="Gentium" w:eastAsia="Gentium" w:cs="Gentium"/>
          <w:i/>
          <w:iCs/>
        </w:rPr>
        <w:t xml:space="preserve">Heretics: The Other Side of Early Christianity</w:t>
      </w:r>
      <w:r>
        <w:rPr>
          <w:rFonts w:ascii="Gentium" w:hAnsi="Gentium" w:eastAsia="Gentium" w:cs="Gentium"/>
        </w:rPr>
        <w:t xml:space="preserve">. Louisville, Ky: Westminster John Knox Press, 1996.</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Lüdemann approaches the topic from the perspective of Irenaeus and Tertullian and their heresiological rhetoric. He investigates a number </w:t>
      </w:r>
      <w:r>
        <w:rPr>
          <w:rFonts w:ascii="Gentium" w:hAnsi="Gentium" w:eastAsia="Gentium" w:cs="Gentium"/>
        </w:rPr>
        <w:t xml:space="preserve">of inversions of orthodox status such as the earliest Jewish-Christian communities, Paul as the ‘first heretic,’ Marcion, and other indications of schisms. This is set in the context of the growth of the Apostle’s Creed and the canon of the New Testament. </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Ehrman, Bart D. </w:t>
      </w:r>
      <w:r>
        <w:rPr>
          <w:rFonts w:ascii="Gentium" w:hAnsi="Gentium" w:eastAsia="Gentium" w:cs="Gentium"/>
          <w:i/>
          <w:iCs/>
        </w:rPr>
        <w:t xml:space="preserve">Lost Christianities: The Battles for Scripture and the Faiths We Never Knew</w:t>
      </w:r>
      <w:r>
        <w:rPr>
          <w:rFonts w:ascii="Gentium" w:hAnsi="Gentium" w:eastAsia="Gentium" w:cs="Gentium"/>
        </w:rPr>
        <w:t xml:space="preserve">. New York, N.Y.: Oxford University Press, 2003.</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Ehrman argues that it is essential to study non-canonical literature and the groups who produced and valued them. Literature and groups to study include books with forged authorship disclosing alternative forms of</w:t>
      </w:r>
      <w:r>
        <w:rPr>
          <w:rFonts w:ascii="Gentium" w:hAnsi="Gentium" w:eastAsia="Gentium" w:cs="Gentium"/>
        </w:rPr>
        <w:t xml:space="preserve"> Christianity that are now lost, and groups that demonstrated variant beliefs and practices from the emerging orthodox mainstream (Ebionites, Marcionites, and Gnostics). This is placed in context against the development of orthodoxy and the biblical canon.</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Riley, Gregory J. </w:t>
      </w:r>
      <w:r>
        <w:rPr>
          <w:rFonts w:ascii="Gentium" w:hAnsi="Gentium" w:eastAsia="Gentium" w:cs="Gentium"/>
          <w:i/>
          <w:iCs/>
        </w:rPr>
        <w:t xml:space="preserve">One Jesus, Many Christs: How Jesus Inspired Not One True Christianity, but Many: The Truth About Christian Origins</w:t>
      </w:r>
      <w:r>
        <w:rPr>
          <w:rFonts w:ascii="Gentium" w:hAnsi="Gentium" w:eastAsia="Gentium" w:cs="Gentium"/>
        </w:rPr>
        <w:t xml:space="preserve">. Minneapolis, Minn.: Augsburg Fortress Press, 2000.</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Riley argues for varieties of early Christianities and show</w:t>
      </w:r>
      <w:r>
        <w:rPr>
          <w:rFonts w:ascii="Gentium" w:hAnsi="Gentium" w:eastAsia="Gentium" w:cs="Gentium"/>
        </w:rPr>
        <w:t xml:space="preserve">s how the model of the hero in antiquity is key to understanding early constructions of the meaning of Christ, including martyrdom as hero-imitation. He offers various representations of the figure of Jesus and the multiple conceptions of Jesus as Christ. </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Dunn, James D. G. </w:t>
      </w:r>
      <w:r>
        <w:rPr>
          <w:rFonts w:ascii="Gentium" w:hAnsi="Gentium" w:eastAsia="Gentium" w:cs="Gentium"/>
          <w:i/>
          <w:iCs/>
        </w:rPr>
        <w:t xml:space="preserve">Unity and Diversity in the New Testament: An Inquiry into the Character of Earliest Christianity</w:t>
      </w:r>
      <w:r>
        <w:rPr>
          <w:rFonts w:ascii="Gentium" w:hAnsi="Gentium" w:eastAsia="Gentium" w:cs="Gentium"/>
        </w:rPr>
        <w:t xml:space="preserve">. 3rd edition. London: SCM Press, 2006.</w:t>
      </w:r>
      <w:r>
        <w:rPr>
          <w:rFonts w:ascii="Gentium" w:hAnsi="Gentium" w:cs="Gentium"/>
        </w:rPr>
      </w:r>
      <w:r>
        <w:rPr>
          <w:rFonts w:ascii="Gentium" w:hAnsi="Gentium" w:cs="Gentium"/>
        </w:rPr>
      </w:r>
    </w:p>
    <w:p>
      <w:pPr>
        <w:pStyle w:val="1016"/>
        <w:pBdr/>
        <w:spacing w:after="0" w:afterAutospacing="0" w:before="0" w:beforeAutospacing="0"/>
        <w:ind w:right="0" w:firstLine="0" w:left="680"/>
        <w:jc w:val="both"/>
        <w:rPr>
          <w:rFonts w:ascii="Gentium" w:hAnsi="Gentium" w:cs="Gentium"/>
          <w:iCs/>
        </w:rPr>
      </w:pPr>
      <w:r>
        <w:rPr>
          <w:rFonts w:ascii="Gentium" w:hAnsi="Gentium" w:eastAsia="Gentium" w:cs="Gentium"/>
        </w:rPr>
        <w:t xml:space="preserve">Dunn interacts with the debates on orthodoxy initiated by the work of Walter Bauer and its reception. His solution focuses on a number of features tha</w:t>
      </w:r>
      <w:r>
        <w:rPr>
          <w:rFonts w:ascii="Gentium" w:hAnsi="Gentium" w:eastAsia="Gentium" w:cs="Gentium"/>
        </w:rPr>
        <w:t xml:space="preserve">t define the essence of early Christianity, and analyses four types of Christianity (Jewish, Hellenistic, apocalyptic Christianity, and early Catholicism) for common traits. For Dunn the unifying strand throughout all versions of early Christianity is the </w:t>
      </w:r>
      <w:r>
        <w:rPr>
          <w:rFonts w:ascii="Gentium" w:hAnsi="Gentium" w:eastAsia="Gentium" w:cs="Gentium"/>
          <w:lang w:val="en-ZA" w:eastAsia="en-ZA"/>
        </w:rPr>
        <w:t xml:space="preserve">unity between the historical Jesus and the exalted Christ.</w:t>
      </w:r>
      <w:r>
        <w:rPr>
          <w:rFonts w:ascii="Gentium" w:hAnsi="Gentium" w:cs="Gentium"/>
          <w:iCs/>
        </w:rPr>
      </w:r>
      <w:r>
        <w:rPr>
          <w:rFonts w:ascii="Gentium" w:hAnsi="Gentium" w:cs="Gentium"/>
          <w:iCs/>
        </w:rPr>
      </w:r>
    </w:p>
    <w:p>
      <w:pPr>
        <w:pStyle w:val="1016"/>
        <w:pBdr/>
        <w:spacing w:after="0" w:afterAutospacing="0" w:before="0" w:beforeAutospacing="0"/>
        <w:ind/>
        <w:jc w:val="both"/>
        <w:rPr>
          <w:rFonts w:ascii="Gentium" w:hAnsi="Gentium" w:cs="Gentium"/>
          <w:iCs/>
        </w:rPr>
      </w:pPr>
      <w:r>
        <w:rPr>
          <w:rFonts w:ascii="Gentium" w:hAnsi="Gentium" w:cs="Gentium"/>
          <w:iCs/>
        </w:rPr>
      </w:r>
      <w:r>
        <w:rPr>
          <w:rFonts w:ascii="Gentium" w:hAnsi="Gentium" w:cs="Gentium"/>
          <w:iCs/>
        </w:rPr>
      </w:r>
      <w:r>
        <w:rPr>
          <w:rFonts w:ascii="Gentium" w:hAnsi="Gentium" w:cs="Gentium"/>
          <w:iCs/>
        </w:rPr>
      </w:r>
    </w:p>
    <w:p>
      <w:pPr>
        <w:pStyle w:val="940"/>
        <w:pBdr/>
        <w:spacing/>
        <w:ind/>
        <w:rPr>
          <w:rFonts w:ascii="Gentium" w:hAnsi="Gentium" w:cs="Gentium"/>
        </w:rPr>
      </w:pPr>
      <w:r/>
      <w:bookmarkStart w:id="20" w:name="_Toc414386063"/>
      <w:r>
        <w:rPr>
          <w:rFonts w:ascii="Gentium" w:hAnsi="Gentium" w:eastAsia="Gentium" w:cs="Gentium"/>
          <w:lang w:val="en-ZA"/>
        </w:rPr>
        <w:t xml:space="preserve">Specific ‘heterodox’ early Christian traditions, figures, and movements</w:t>
      </w:r>
      <w:bookmarkEnd w:id="20"/>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iCs/>
        </w:rPr>
      </w:pPr>
      <w:r>
        <w:rPr>
          <w:rFonts w:ascii="Gentium" w:hAnsi="Gentium" w:cs="Gentium"/>
          <w:iCs/>
        </w:rPr>
      </w:r>
      <w:r>
        <w:rPr>
          <w:rFonts w:ascii="Gentium" w:hAnsi="Gentium" w:cs="Gentium"/>
          <w:iCs/>
        </w:rPr>
      </w:r>
      <w:r>
        <w:rPr>
          <w:rFonts w:ascii="Gentium" w:hAnsi="Gentium" w:cs="Gentium"/>
          <w:iCs/>
        </w:rPr>
      </w:r>
    </w:p>
    <w:p>
      <w:pPr>
        <w:pStyle w:val="1016"/>
        <w:pBdr/>
        <w:spacing w:after="0" w:afterAutospacing="0" w:before="0" w:beforeAutospacing="0"/>
        <w:ind/>
        <w:jc w:val="both"/>
        <w:rPr>
          <w:rFonts w:ascii="Gentium" w:hAnsi="Gentium" w:cs="Gentium"/>
        </w:rPr>
      </w:pPr>
      <w:r>
        <w:rPr>
          <w:rFonts w:ascii="Gentium" w:hAnsi="Gentium" w:eastAsia="Gentium" w:cs="Gentium"/>
          <w:iCs/>
          <w:lang w:val="en-ZA"/>
        </w:rPr>
        <w:t xml:space="preserve">Alongside studies of a more general nature that argue the case for diversity in early Christianity and its significance it is important to pay attention to detailed studies of some alternative traditions in early Christianity. </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rPr>
          <w:rFonts w:ascii="Gentium" w:hAnsi="Gentium" w:eastAsia="Gentium" w:cs="Gentium"/>
        </w:rPr>
        <w:t xml:space="preserve"> </w:t>
      </w:r>
      <w:bookmarkStart w:id="21" w:name="_Toc414386064"/>
      <w:r>
        <w:rPr>
          <w:rFonts w:ascii="Gentium" w:hAnsi="Gentium" w:eastAsia="Gentium" w:cs="Gentium"/>
        </w:rPr>
        <w:t xml:space="preserve">Overview of second century figures and movements</w:t>
      </w:r>
      <w:bookmarkEnd w:id="21"/>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iCs/>
          <w:lang w:val="en-ZA"/>
        </w:rPr>
        <w:t xml:space="preserve">The first is the volume of </w:t>
      </w:r>
      <w:r>
        <w:rPr>
          <w:rFonts w:ascii="Gentium" w:hAnsi="Gentium" w:eastAsia="Gentium" w:cs="Gentium"/>
          <w:lang w:val="en-ZA"/>
        </w:rPr>
        <w:t xml:space="preserve">Marjanen and Luomanen, eds. which provides detailed descriptions of a number of second century Chr</w:t>
      </w:r>
      <w:r>
        <w:rPr>
          <w:rFonts w:ascii="Gentium" w:hAnsi="Gentium" w:eastAsia="Gentium" w:cs="Gentium"/>
          <w:lang w:val="en-ZA"/>
        </w:rPr>
        <w:t xml:space="preserve">istian writers, group founders, and religious authorities from Gnostics through Marcion and Tatian to Jewish-Christian groups. It is a valuable resource for reconstructing and understanding the Other to emerging mainstream traditions in the second century.</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lang w:val="it-IT"/>
        </w:rPr>
        <w:t xml:space="preserve">Marjanen, Antti, and Petri Luomanen, eds. </w:t>
      </w:r>
      <w:r>
        <w:rPr>
          <w:rFonts w:ascii="Gentium" w:hAnsi="Gentium" w:eastAsia="Gentium" w:cs="Gentium"/>
          <w:i/>
          <w:iCs/>
          <w:sz w:val="24"/>
          <w:szCs w:val="24"/>
        </w:rPr>
        <w:t xml:space="preserve">A Companion to Second-century Christian “Heretics.”</w:t>
      </w:r>
      <w:r>
        <w:rPr>
          <w:rFonts w:ascii="Gentium" w:hAnsi="Gentium" w:eastAsia="Gentium" w:cs="Gentium"/>
          <w:sz w:val="24"/>
          <w:szCs w:val="24"/>
        </w:rPr>
        <w:t xml:space="preserve"> Vol. 76. Supplements to Vigiliae Christianae. Leiden; Boston, Mass.: Brill, 2005.</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Contains detailed descriptions of founding figures, writers, and groups from the second century who </w:t>
      </w:r>
      <w:r>
        <w:rPr>
          <w:rFonts w:ascii="Gentium" w:hAnsi="Gentium" w:eastAsia="Gentium" w:cs="Gentium"/>
          <w:sz w:val="24"/>
          <w:szCs w:val="24"/>
        </w:rPr>
        <w:t xml:space="preserve">understood themselves as Christian but were subsequently labeled heretics: Basilides the Gnostic, the Sethians, Valentinians, Marcion, Tatian, Bardaisan, Montanists, Cerinthus, Ebionites, Nazarenes, Ps.-Clementine Jewish Christianity, and the Elchesaites. </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41"/>
        <w:pBdr/>
        <w:spacing/>
        <w:ind/>
        <w:rPr>
          <w:rFonts w:ascii="Gentium" w:hAnsi="Gentium" w:cs="Gentium"/>
        </w:rPr>
      </w:pPr>
      <w:r/>
      <w:bookmarkStart w:id="22" w:name="_Toc414386065"/>
      <w:r>
        <w:rPr>
          <w:rFonts w:ascii="Gentium" w:hAnsi="Gentium" w:eastAsia="Gentium" w:cs="Gentium"/>
        </w:rPr>
        <w:t xml:space="preserve">Jewish Christianity</w:t>
      </w:r>
      <w:bookmarkEnd w:id="22"/>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lang w:val="en-ZA"/>
        </w:rPr>
        <w:t xml:space="preserve">Luomanen is an important survey of Jewish-Christian groups and traditions. Interacting with the history of scholarship on the topic he posits a polythetic definiti</w:t>
      </w:r>
      <w:r>
        <w:rPr>
          <w:rFonts w:ascii="Gentium" w:hAnsi="Gentium" w:eastAsia="Gentium" w:cs="Gentium"/>
          <w:lang w:val="en-ZA"/>
        </w:rPr>
        <w:t xml:space="preserve">on of Jewish Christianity that identifies a wide number of features that in some combination and ratio would allow an identification of a group or writing as Jewish Christian. This is applied in an in-depth analysis of Jewish Christian groups and writings.</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Luomanen, Petri. </w:t>
      </w:r>
      <w:r>
        <w:rPr>
          <w:rFonts w:ascii="Gentium" w:hAnsi="Gentium" w:eastAsia="Gentium" w:cs="Gentium"/>
          <w:i/>
          <w:iCs/>
        </w:rPr>
        <w:t xml:space="preserve">Recovering Jewish-Christian Sects and Gospels</w:t>
      </w:r>
      <w:r>
        <w:rPr>
          <w:rFonts w:ascii="Gentium" w:hAnsi="Gentium" w:eastAsia="Gentium" w:cs="Gentium"/>
        </w:rPr>
        <w:t xml:space="preserve">. Vol. 110. Supplements to Vigiliae Christianae. Leiden; Boston, Mass.: Brill, 2012.</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Luomanen offers a new, polythetic definition of Jewish Christianity leading to a reconsideration of the patristic testimonies on the Ebionites and Nazarenes. He  reconstr</w:t>
      </w:r>
      <w:r>
        <w:rPr>
          <w:rFonts w:ascii="Gentium" w:hAnsi="Gentium" w:eastAsia="Gentium" w:cs="Gentium"/>
        </w:rPr>
        <w:t xml:space="preserve">ucts Jewish Christian gospels; passion traditions in Jewish Christian gospels; the relationship between Jewish Christian gospels and Syriac gospel traditions and concludes with a synthesis on the history of Jewish Christianity and Jewish Christian gospels.</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bookmarkStart w:id="23" w:name="_Toc414386066"/>
      <w:r>
        <w:rPr>
          <w:rFonts w:ascii="Gentium" w:hAnsi="Gentium" w:eastAsia="Gentium" w:cs="Gentium"/>
        </w:rPr>
        <w:t xml:space="preserve">Gnosticism</w:t>
      </w:r>
      <w:bookmarkEnd w:id="23"/>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lang w:val="en-ZA"/>
        </w:rPr>
        <w:t xml:space="preserve">Another very important tradition, in historical and scholarly perspective, is Gnosticism, variously conceived in the history of scholarship either as a full-blown Hellenised version of Christianity or as separate religion in itse</w:t>
      </w:r>
      <w:r>
        <w:rPr>
          <w:rFonts w:ascii="Gentium" w:hAnsi="Gentium" w:eastAsia="Gentium" w:cs="Gentium"/>
          <w:lang w:val="en-ZA"/>
        </w:rPr>
        <w:t xml:space="preserve">lf with significant influences on formative Christianity, as an early phenomenon or as a late development. It is particularly since the discovery of the Nag Hammadi literature that Gnosticism has been much studied for what light it shines on the character </w:t>
      </w:r>
      <w:r>
        <w:rPr>
          <w:rFonts w:ascii="Gentium" w:hAnsi="Gentium" w:eastAsia="Gentium" w:cs="Gentium"/>
          <w:lang w:val="en-ZA"/>
        </w:rPr>
        <w:t xml:space="preserve">of some strands of early Christian tradition and on some of the controversies raging in the second to third centuries. The heyday of post-discovery enthusiasm in which Gnosticism was identified almost everywhere in early Christian writings has now passed a</w:t>
      </w:r>
      <w:r>
        <w:rPr>
          <w:rFonts w:ascii="Gentium" w:hAnsi="Gentium" w:eastAsia="Gentium" w:cs="Gentium"/>
          <w:lang w:val="en-ZA"/>
        </w:rPr>
        <w:t xml:space="preserve">nd given way to more sober evaluations of the phenomenon. The work by Rudolph is still a classic in its comprehensiveness but is now somewhat dated in light of more recent evaluations of diversity in Gnosticism. Rudolph shared with other contemporary under</w:t>
      </w:r>
      <w:r>
        <w:rPr>
          <w:rFonts w:ascii="Gentium" w:hAnsi="Gentium" w:eastAsia="Gentium" w:cs="Gentium"/>
          <w:lang w:val="en-ZA"/>
        </w:rPr>
        <w:t xml:space="preserve">standings of Gnosticism the tendency to construct the category too wide, as a catch-all for too many divergent texts, groups, and ideas into which texts and traditions labelled Gnostic were forced to fit. Brakke provides a more concise overview of Gnostici</w:t>
      </w:r>
      <w:r>
        <w:rPr>
          <w:rFonts w:ascii="Gentium" w:hAnsi="Gentium" w:eastAsia="Gentium" w:cs="Gentium"/>
          <w:lang w:val="en-ZA"/>
        </w:rPr>
        <w:t xml:space="preserve">sm, starting with an introduction setting out the definitional problems relating to the term ‘Gnostic/Gnosticism’, after which he uses the attributions of Gnostic-ness by the groups themselves or by others to describe the nature of these groups, their lite</w:t>
      </w:r>
      <w:r>
        <w:rPr>
          <w:rFonts w:ascii="Gentium" w:hAnsi="Gentium" w:eastAsia="Gentium" w:cs="Gentium"/>
          <w:lang w:val="en-ZA"/>
        </w:rPr>
        <w:t xml:space="preserve">rature, myth and ritual, and their traces in history. King and Williams offer significant critiques of the category ‘Gnostic/Gnosticism’ by revisiting the scholarly use of the term ‘Gnosticism’ in the history of scholarship as well as its use in early Chri</w:t>
      </w:r>
      <w:r>
        <w:rPr>
          <w:rFonts w:ascii="Gentium" w:hAnsi="Gentium" w:eastAsia="Gentium" w:cs="Gentium"/>
          <w:lang w:val="en-ZA"/>
        </w:rPr>
        <w:t xml:space="preserve">stian writings. Williams offers as replacement for ‘Gnosticism’ the term ‘biblical demiurgical traditions’ or, as alternative, smaller distinctive socio-historical formations, like Valentinianism. King’s critique of the category ‘Gnosticism’ is based on it</w:t>
      </w:r>
      <w:r>
        <w:rPr>
          <w:rFonts w:ascii="Gentium" w:hAnsi="Gentium" w:eastAsia="Gentium" w:cs="Gentium"/>
          <w:lang w:val="en-ZA"/>
        </w:rPr>
        <w:t xml:space="preserve">s use to construct an ‘other’ for ‘normative/proto-/orthodox’ Christianity, and thus serves as a device for defining Christianity instead of interpreting texts and traditions labelled as Gnostic in their own right. A particular problem highlighted by all c</w:t>
      </w:r>
      <w:r>
        <w:rPr>
          <w:rFonts w:ascii="Gentium" w:hAnsi="Gentium" w:eastAsia="Gentium" w:cs="Gentium"/>
          <w:lang w:val="en-ZA"/>
        </w:rPr>
        <w:t xml:space="preserve">ritiques of the use of the category ‘Gnosticism’ in scholarship is how to steer between essentialism and nominalism. For a more accessible introduction to Gnosticism and its literature, written for a more popular market, the book by Pagels is very useful f</w:t>
      </w:r>
      <w:r>
        <w:rPr>
          <w:rFonts w:ascii="Gentium" w:hAnsi="Gentium" w:eastAsia="Gentium" w:cs="Gentium"/>
          <w:lang w:val="en-ZA"/>
        </w:rPr>
        <w:t xml:space="preserve">or its short description of the Nag Hammadi finds and history of modern study of Gnosticism, as well as introduction to key features of Gnosticism as well as the history of Gnostic tradition in the context of the growing proto-orthodox Christian tradition.</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Rudolph, Kurt. </w:t>
      </w:r>
      <w:r>
        <w:rPr>
          <w:rFonts w:ascii="Gentium" w:hAnsi="Gentium" w:eastAsia="Gentium" w:cs="Gentium"/>
          <w:i/>
          <w:iCs/>
        </w:rPr>
        <w:t xml:space="preserve">Gnosis: The Nature and History of Gnosticism</w:t>
      </w:r>
      <w:r>
        <w:rPr>
          <w:rFonts w:ascii="Gentium" w:hAnsi="Gentium" w:eastAsia="Gentium" w:cs="Gentium"/>
        </w:rPr>
        <w:t xml:space="preserve">. Translated by R. McL Wilson, P. W. Coxon, and H.W. Kuhn. San Francisco, Calif.: HarperSanFrancisco, 1987.</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Opens with a section on the sources for knowledge of Gnosticism together with the history of research then discusses the character a</w:t>
      </w:r>
      <w:r>
        <w:rPr>
          <w:rFonts w:ascii="Gentium" w:hAnsi="Gentium" w:eastAsia="Gentium" w:cs="Gentium"/>
        </w:rPr>
        <w:t xml:space="preserve">nd main features of Gnosticism as system. Rudolph also traces the history of Gnosticism from its origins through the main schools up to Manichaeism and the Mandaeans and concludes with a historical survey of the changes Gnosticism underwent and its legacy.</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Brakke, David. </w:t>
      </w:r>
      <w:r>
        <w:rPr>
          <w:rFonts w:ascii="Gentium" w:hAnsi="Gentium" w:eastAsia="Gentium" w:cs="Gentium"/>
          <w:i/>
          <w:iCs/>
        </w:rPr>
        <w:t xml:space="preserve">The Gnostics. Myth, Ritual, and Diversity in Early Christianity</w:t>
      </w:r>
      <w:r>
        <w:rPr>
          <w:rFonts w:ascii="Gentium" w:hAnsi="Gentium" w:eastAsia="Gentium" w:cs="Gentium"/>
        </w:rPr>
        <w:t xml:space="preserve">. Cambridge, Mass.; London: Harvard University Press, 2010.</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Brakke opens with an overview of the study of Gnosticism and ways of constructing the category then goes on to “recover” the Gnostics from both insider and outsider lite</w:t>
      </w:r>
      <w:r>
        <w:rPr>
          <w:rFonts w:ascii="Gentium" w:hAnsi="Gentium" w:eastAsia="Gentium" w:cs="Gentium"/>
        </w:rPr>
        <w:t xml:space="preserve">rary traditions. The definitive myths and rituals, and the place of Gnostic schools within the fractious diversity of Christian groups in second century Rome are set out. He concludes by showing how Gnostic groups were relegated to the “heterodox” margins.</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King, Karen L. </w:t>
      </w:r>
      <w:r>
        <w:rPr>
          <w:rFonts w:ascii="Gentium" w:hAnsi="Gentium" w:eastAsia="Gentium" w:cs="Gentium"/>
          <w:i/>
          <w:iCs/>
        </w:rPr>
        <w:t xml:space="preserve">What Is Gnosticism?</w:t>
      </w:r>
      <w:r>
        <w:rPr>
          <w:rFonts w:ascii="Gentium" w:hAnsi="Gentium" w:eastAsia="Gentium" w:cs="Gentium"/>
        </w:rPr>
        <w:t xml:space="preserve"> Cambridge, Mass. ; London: Harvard University Press, 2005.</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King argues that Christian discourse distorted what should be understood as Gnosticism. The point is argued through historical overview of Gnosticism as perceived heresy in ecclesia</w:t>
      </w:r>
      <w:r>
        <w:rPr>
          <w:rFonts w:ascii="Gentium" w:hAnsi="Gentium" w:eastAsia="Gentium" w:cs="Gentium"/>
        </w:rPr>
        <w:t xml:space="preserve">stical writers and the representation of Gnosticism in scholarship. The importance of the Nag Hammadi finds is highlighted. King concludes with the question if the category “Gnosticism” is a meaningful one in light of the diversity of texts and traditions.</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Williams, Michael A. </w:t>
      </w:r>
      <w:r>
        <w:rPr>
          <w:rFonts w:ascii="Gentium" w:hAnsi="Gentium" w:eastAsia="Gentium" w:cs="Gentium"/>
          <w:i/>
          <w:iCs/>
        </w:rPr>
        <w:t xml:space="preserve">Rethinking “Gnosticism”: An Argument for Dismantling a Dubious Category</w:t>
      </w:r>
      <w:r>
        <w:rPr>
          <w:rFonts w:ascii="Gentium" w:hAnsi="Gentium" w:eastAsia="Gentium" w:cs="Gentium"/>
        </w:rPr>
        <w:t xml:space="preserve">. Princeton, N.J.; Chichester: Princeton University Press, 1999.</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Williams uses four test cases to argue that we should take leave of </w:t>
      </w:r>
      <w:r>
        <w:rPr>
          <w:rFonts w:ascii="Gentium" w:hAnsi="Gentium" w:eastAsia="Gentium" w:cs="Gentium"/>
        </w:rPr>
        <w:t xml:space="preserve">the category “Gnosticism”. He offers different ways of constructing the category “Gnosticism” and evaluates different views on the nature of Gnosticism, finally reconsidering the origins of Gnosticism and the legacy of Gnosticism as a religious “movement”.</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rPr>
        <w:t xml:space="preserve">Pagels, Elaine H. </w:t>
      </w:r>
      <w:r>
        <w:rPr>
          <w:rFonts w:ascii="Gentium" w:hAnsi="Gentium" w:eastAsia="Gentium" w:cs="Gentium"/>
          <w:i/>
          <w:iCs/>
        </w:rPr>
        <w:t xml:space="preserve">The Gnostic Gospels</w:t>
      </w:r>
      <w:r>
        <w:rPr>
          <w:rFonts w:ascii="Gentium" w:hAnsi="Gentium" w:eastAsia="Gentium" w:cs="Gentium"/>
        </w:rPr>
        <w:t xml:space="preserve">. New York, N.Y.: Vintage Books, 1989.</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Pagels is a classic introduction on the history of the Nag Hammadi finds and the scholarly understanding of Gnosticism since the 19</w:t>
      </w:r>
      <w:r>
        <w:rPr>
          <w:rFonts w:ascii="Gentium" w:hAnsi="Gentium" w:eastAsia="Gentium" w:cs="Gentium"/>
          <w:vertAlign w:val="superscript"/>
        </w:rPr>
        <w:t xml:space="preserve">th</w:t>
      </w:r>
      <w:r>
        <w:rPr>
          <w:rFonts w:ascii="Gentium" w:hAnsi="Gentium" w:eastAsia="Gentium" w:cs="Gentium"/>
        </w:rPr>
        <w:t xml:space="preserve"> century. She presents Gnostic representations of Jesus Christ and Gnostic images of God as well as various gnostic positions on theological matters. Conclusion on the significance of the Nag Hammadi finds for understanding the history of Christianity.</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bookmarkStart w:id="24" w:name="_Toc414386067"/>
      <w:r>
        <w:rPr>
          <w:rFonts w:ascii="Gentium" w:hAnsi="Gentium" w:eastAsia="Gentium" w:cs="Gentium"/>
        </w:rPr>
        <w:t xml:space="preserve">Manichaeism</w:t>
      </w:r>
      <w:bookmarkEnd w:id="24"/>
      <w:r>
        <w:rPr>
          <w:rFonts w:ascii="Gentium" w:hAnsi="Gentium" w:eastAsia="Gentium" w:cs="Gentium"/>
        </w:rPr>
        <w:t xml:space="preserve"> </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lang w:val="en-ZA"/>
        </w:rPr>
        <w:t xml:space="preserve">Related to Gnosticism, as one later development of </w:t>
      </w:r>
      <w:r>
        <w:rPr>
          <w:rFonts w:ascii="Gentium" w:hAnsi="Gentium" w:eastAsia="Gentium" w:cs="Gentium"/>
          <w:lang w:val="en-ZA"/>
        </w:rPr>
        <w:t xml:space="preserve">the wider phenomenon of Gnostic religions, is Manichaeism. It had its origins in the mid-third century in Persia in the preaching of Mani, who grew up in a Jewish-Christian baptist sect, the Elkesaites, and who integrated in his thinking many diverse relig</w:t>
      </w:r>
      <w:r>
        <w:rPr>
          <w:rFonts w:ascii="Gentium" w:hAnsi="Gentium" w:eastAsia="Gentium" w:cs="Gentium"/>
          <w:lang w:val="en-ZA"/>
        </w:rPr>
        <w:t xml:space="preserve">ious traditions, among which Jewish apocalypticism and Gnostic ideas. As such Manichaeism is not so much a Christian movement, but belongs to the effective history of Christianity, especially Jewish-Christianity, in the border regions of the eastern Roman </w:t>
      </w:r>
      <w:r>
        <w:rPr>
          <w:rFonts w:ascii="Gentium" w:hAnsi="Gentium" w:eastAsia="Gentium" w:cs="Gentium"/>
          <w:lang w:val="en-ZA"/>
        </w:rPr>
        <w:t xml:space="preserve">Empire and Persia. The movement quickly spread very widely over the late ancient Near East to as far east as China and as far west as the Roman Empire. At its peak it constituted the most widely spread religion in the late ancient world. Although much pers</w:t>
      </w:r>
      <w:r>
        <w:rPr>
          <w:rFonts w:ascii="Gentium" w:hAnsi="Gentium" w:eastAsia="Gentium" w:cs="Gentium"/>
          <w:lang w:val="en-ZA"/>
        </w:rPr>
        <w:t xml:space="preserve">ecuted it endured in various forms into the European Middle Ages as well as in the Far East, and exerted some influence on mediaeval Christianity. Important Christian figures like Augustine of Hippo once were adherents of Manichaeism. The work by Lieu prov</w:t>
      </w:r>
      <w:r>
        <w:rPr>
          <w:rFonts w:ascii="Gentium" w:hAnsi="Gentium" w:eastAsia="Gentium" w:cs="Gentium"/>
          <w:lang w:val="en-ZA"/>
        </w:rPr>
        <w:t xml:space="preserve">ides a comprehensive introduction to Manichaeism, its origins and spread, aspects of its ‘theology’ and practices, its confrontation with political authorities and its transformation in the Far East through interactions with Buddhism and Chinese religions.</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Lieu, Samuel N. C. </w:t>
      </w:r>
      <w:r>
        <w:rPr>
          <w:rFonts w:ascii="Gentium" w:hAnsi="Gentium" w:eastAsia="Gentium" w:cs="Gentium"/>
          <w:i/>
          <w:iCs/>
        </w:rPr>
        <w:t xml:space="preserve">Manichaeism in the Later Roman Empire and Medieval China</w:t>
      </w:r>
      <w:r>
        <w:rPr>
          <w:rFonts w:ascii="Gentium" w:hAnsi="Gentium" w:eastAsia="Gentium" w:cs="Gentium"/>
        </w:rPr>
        <w:t xml:space="preserve">. Vol. 63. Wissenschaftliche Untersuchungen Zum Neuen Testament. Tübingen: Mohr Siebeck, 1992.</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Lieu provides analyses of the historical context of the figure of Mani, his teachings and Manichaeis</w:t>
      </w:r>
      <w:r>
        <w:rPr>
          <w:rFonts w:ascii="Gentium" w:hAnsi="Gentium" w:eastAsia="Gentium" w:cs="Gentium"/>
        </w:rPr>
        <w:t xml:space="preserve">m as a movement in its religio-historical setting. He describes Mani’s mission and the expansion of Manichaeism as well as reactions to it both positive and negative. The spread of Manichaeism to Central Asia and syncretism with Buddhism is also described.</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bookmarkStart w:id="25" w:name="_Toc414386068"/>
      <w:r>
        <w:rPr>
          <w:rFonts w:ascii="Gentium" w:hAnsi="Gentium" w:eastAsia="Gentium" w:cs="Gentium"/>
        </w:rPr>
        <w:t xml:space="preserve">Montanism</w:t>
      </w:r>
      <w:bookmarkEnd w:id="25"/>
      <w:r>
        <w:rPr>
          <w:rFonts w:ascii="Gentium" w:hAnsi="Gentium" w:eastAsia="Gentium" w:cs="Gentium"/>
        </w:rPr>
        <w:t xml:space="preserve"> </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lang w:val="en-ZA"/>
        </w:rPr>
        <w:t xml:space="preserve">The last significant Christian movement included here is Montanism </w:t>
      </w:r>
      <w:r>
        <w:rPr>
          <w:rFonts w:ascii="Gentium" w:hAnsi="Gentium" w:eastAsia="Gentium" w:cs="Gentium"/>
          <w:lang w:val="en-ZA"/>
        </w:rPr>
        <w:t xml:space="preserve">(so called after its founder, Montanus), or the New Prophecy, as it was called in late antiquity. It originated in the late second century in Phrygia with the ecstatic prophetism of Montanus and his two female prophetic colleagues, Prisca and Maximilla. Th</w:t>
      </w:r>
      <w:r>
        <w:rPr>
          <w:rFonts w:ascii="Gentium" w:hAnsi="Gentium" w:eastAsia="Gentium" w:cs="Gentium"/>
          <w:lang w:val="en-ZA"/>
        </w:rPr>
        <w:t xml:space="preserve">e movement as such espoused strict ethical standards and held to large extent proto-orthodox beliefs. It is their claim to receive direct inspiration from the Holy Spirit and so embody the Paraclete from the Gospel of John that caused tensions with other e</w:t>
      </w:r>
      <w:r>
        <w:rPr>
          <w:rFonts w:ascii="Gentium" w:hAnsi="Gentium" w:eastAsia="Gentium" w:cs="Gentium"/>
          <w:lang w:val="en-ZA"/>
        </w:rPr>
        <w:t xml:space="preserve">arly Christian formations, and although excommunicated in places and denounced as heretical, in many contexts they were held to be orthodox. Montanism spread widely from central Western Asia Minor to Gaul and Africa, and the church father Tertullian was a </w:t>
      </w:r>
      <w:r>
        <w:rPr>
          <w:rFonts w:ascii="Gentium" w:hAnsi="Gentium" w:eastAsia="Gentium" w:cs="Gentium"/>
          <w:lang w:val="en-ZA"/>
        </w:rPr>
        <w:t xml:space="preserve">famous adherent of Montanism, defending its orthodoxy. Tabbernee presents a narrative history of the movement and its vicissitudes richly documented with footnotes to scholarly literature and references to archaeology, especially the expedition Tabbernee l</w:t>
      </w:r>
      <w:r>
        <w:rPr>
          <w:rFonts w:ascii="Gentium" w:hAnsi="Gentium" w:eastAsia="Gentium" w:cs="Gentium"/>
          <w:lang w:val="en-ZA"/>
        </w:rPr>
        <w:t xml:space="preserve">ed which discovered the ancient site of the Montanist holy city, Pepuza, the “New Jerusalem.” Trevett also provides an overview of the history of Montanism, but then surveys in much detail the teachings of the “New Prophecy” to conclude with a section on h</w:t>
      </w:r>
      <w:r>
        <w:rPr>
          <w:rFonts w:ascii="Gentium" w:hAnsi="Gentium" w:eastAsia="Gentium" w:cs="Gentium"/>
          <w:lang w:val="en-ZA"/>
        </w:rPr>
        <w:t xml:space="preserve">ow prophetic authority was gendered in the context of the movement (with female leaders playing a leading role in prophecy and church authority) but also how the emerging male-centred authority of proto-orthodoxy helped marginalise the movement as heretic.</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Tabbernee, William. </w:t>
      </w:r>
      <w:r>
        <w:rPr>
          <w:rFonts w:ascii="Gentium" w:hAnsi="Gentium" w:eastAsia="Gentium" w:cs="Gentium"/>
          <w:i/>
          <w:iCs/>
          <w:sz w:val="24"/>
          <w:szCs w:val="24"/>
        </w:rPr>
        <w:t xml:space="preserve">Prophets and Gravestones. An Imaginative History of Montanists and Other Early Christians.</w:t>
      </w:r>
      <w:r>
        <w:rPr>
          <w:rFonts w:ascii="Gentium" w:hAnsi="Gentium" w:eastAsia="Gentium" w:cs="Gentium"/>
          <w:sz w:val="24"/>
          <w:szCs w:val="24"/>
        </w:rPr>
        <w:t xml:space="preserve"> Peabody, Mass.: Hendrickson, 2009.</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Short chapters in narrative form cover the vision of Montanus, his first prophecies and the founding of the holy</w:t>
      </w:r>
      <w:r>
        <w:rPr>
          <w:rFonts w:ascii="Gentium" w:hAnsi="Gentium" w:eastAsia="Gentium" w:cs="Gentium"/>
          <w:sz w:val="24"/>
          <w:szCs w:val="24"/>
        </w:rPr>
        <w:t xml:space="preserve"> city of Pepouza, the “New Jerusalem”; the spread of the New Prophecy and its encounters with ecclesiastical authorities and writers, polemics, debates on revelation and true prophecy, resistance, persecution and martyrdom, and its eventual disappearance. </w:t>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Trevett, Christine. </w:t>
      </w:r>
      <w:r>
        <w:rPr>
          <w:rFonts w:ascii="Gentium" w:hAnsi="Gentium" w:eastAsia="Gentium" w:cs="Gentium"/>
          <w:i/>
          <w:iCs/>
        </w:rPr>
        <w:t xml:space="preserve">Montanism: Gender, Authority and the New Prophecy</w:t>
      </w:r>
      <w:r>
        <w:rPr>
          <w:rFonts w:ascii="Gentium" w:hAnsi="Gentium" w:eastAsia="Gentium" w:cs="Gentium"/>
        </w:rPr>
        <w:t xml:space="preserve">. Cambridge ; New York, N.Y.: Cambridge Univ. Press, 1996.</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Trevett describes the beginnings of Montanism, its geographical and historical setting as well as the spread of the New Prophecy in </w:t>
      </w:r>
      <w:r>
        <w:rPr>
          <w:rFonts w:ascii="Gentium" w:hAnsi="Gentium" w:eastAsia="Gentium" w:cs="Gentium"/>
        </w:rPr>
        <w:t xml:space="preserve">Asia Minor, to Rome and North Africa up to the middle third century. She sets out the teachings of the New Prophecy, the central role of women in the New Prophecy and the later fate of Montanism, its marginalization as heresy, persecution, and destruction.</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0"/>
        <w:pBdr/>
        <w:spacing/>
        <w:ind/>
        <w:rPr>
          <w:rFonts w:ascii="Gentium" w:hAnsi="Gentium" w:cs="Gentium"/>
        </w:rPr>
      </w:pPr>
      <w:r/>
      <w:bookmarkStart w:id="26" w:name="_Toc414386069"/>
      <w:r>
        <w:rPr>
          <w:rFonts w:ascii="Gentium" w:hAnsi="Gentium" w:eastAsia="Gentium" w:cs="Gentium"/>
        </w:rPr>
        <w:t xml:space="preserve">E</w:t>
      </w:r>
      <w:r>
        <w:rPr>
          <w:rFonts w:ascii="Gentium" w:hAnsi="Gentium" w:eastAsia="Gentium" w:cs="Gentium"/>
          <w:lang w:val="en-US"/>
        </w:rPr>
        <w:t xml:space="preserve">arly Christian literature and Canon</w:t>
      </w:r>
      <w:bookmarkEnd w:id="26"/>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rPr>
        <w:t xml:space="preserve">Early Christian literature forms, arguably, the core of any study of early Christianity. Every historical overview, area st</w:t>
      </w:r>
      <w:r>
        <w:rPr>
          <w:rFonts w:ascii="Gentium" w:hAnsi="Gentium" w:eastAsia="Gentium" w:cs="Gentium"/>
        </w:rPr>
        <w:t xml:space="preserve">udy, or particular theme or topic depends on a reading of early Christian writings for its data for historical reconstruction. Read from a cultural studies point of view, early Christian literature provides rich data for understanding early Christian mythm</w:t>
      </w:r>
      <w:r>
        <w:rPr>
          <w:rFonts w:ascii="Gentium" w:hAnsi="Gentium" w:eastAsia="Gentium" w:cs="Gentium"/>
        </w:rPr>
        <w:t xml:space="preserve">aking, social formation, and invention of tradition. The literature not only encodes projections of its imagined social locations, its encoded imaginings of the history of Christianity and tradition formation open a window on to early Christian mythmaking.</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rPr>
          <w:rFonts w:ascii="Gentium" w:hAnsi="Gentium" w:eastAsia="Gentium" w:cs="Gentium"/>
        </w:rPr>
        <w:tab/>
      </w:r>
      <w:bookmarkStart w:id="27" w:name="_Toc414386070"/>
      <w:r>
        <w:rPr>
          <w:rFonts w:ascii="Gentium" w:hAnsi="Gentium" w:eastAsia="Gentium" w:cs="Gentium"/>
        </w:rPr>
        <w:t xml:space="preserve">Overviews</w:t>
      </w:r>
      <w:bookmarkEnd w:id="27"/>
      <w:r>
        <w:rPr>
          <w:rFonts w:ascii="Gentium" w:hAnsi="Gentium" w:eastAsia="Gentium" w:cs="Gentium"/>
        </w:rPr>
        <w:t xml:space="preserve"> </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rPr>
        <w:t xml:space="preserve">Regardless of the perspective from which early Christian literature is studied, it remains essential to c</w:t>
      </w:r>
      <w:r>
        <w:rPr>
          <w:rFonts w:ascii="Gentium" w:hAnsi="Gentium" w:eastAsia="Gentium" w:cs="Gentium"/>
        </w:rPr>
        <w:t xml:space="preserve">onsult broad overviews of early Christian writers and their work for a historical framework. First and foremost, the multivolume work of Quasten is an enduring classic as overview/synthesis and reference work. His work was completed by the work edited by D</w:t>
      </w:r>
      <w:r>
        <w:rPr>
          <w:rFonts w:ascii="Gentium" w:hAnsi="Gentium" w:eastAsia="Gentium" w:cs="Gentium"/>
        </w:rPr>
        <w:t xml:space="preserve">e Bernardino, which took the overview up to the late fifth century. For a more up to date and more accessible overview of early Christian literature, the volume by Moreschini and Norelli is useful as it extends the survey of Christian literature into the 7</w:t>
      </w:r>
      <w:r>
        <w:rPr>
          <w:rFonts w:ascii="Gentium" w:hAnsi="Gentium" w:eastAsia="Gentium" w:cs="Gentium"/>
          <w:vertAlign w:val="superscript"/>
        </w:rPr>
        <w:t xml:space="preserve">th</w:t>
      </w:r>
      <w:r>
        <w:rPr>
          <w:rFonts w:ascii="Gentium" w:hAnsi="Gentium" w:eastAsia="Gentium" w:cs="Gentium"/>
        </w:rPr>
        <w:t xml:space="preserve"> century. Young, Ayres, and Louth, eds., treats early Christian li</w:t>
      </w:r>
      <w:r>
        <w:rPr>
          <w:rFonts w:ascii="Gentium" w:hAnsi="Gentium" w:eastAsia="Gentium" w:cs="Gentium"/>
        </w:rPr>
        <w:t xml:space="preserve">terature by epoch from the beginnings in apostolic literature to roughly the end of the fourth century, organized around epochs, figures, movements, corpuses, with special thematic studies on context and interpretation at the end of each epoch demarcation.</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rPr>
        <w:t xml:space="preserve">Quasten, Johannes. </w:t>
      </w:r>
      <w:r>
        <w:rPr>
          <w:rFonts w:ascii="Gentium" w:hAnsi="Gentium" w:eastAsia="Gentium" w:cs="Gentium"/>
          <w:i/>
          <w:iCs/>
        </w:rPr>
        <w:t xml:space="preserve">Patrology</w:t>
      </w:r>
      <w:r>
        <w:rPr>
          <w:rFonts w:ascii="Gentium" w:hAnsi="Gentium" w:eastAsia="Gentium" w:cs="Gentium"/>
        </w:rPr>
        <w:t xml:space="preserve">. 3 vols. Westminster, Md.: Christian Classics, 1986 [1950].</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Covers the history of early Christian literature by epoch and corpus of writings. Volume one covers second century Christian literature, volume two the third and fourth century, and volume three fourth and fifth century Greek Christian literature. </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De Bernardino, Angelo, ed. Translated by Placid Solari. Introduction by Johannes Quasten. </w:t>
      </w:r>
      <w:r>
        <w:rPr>
          <w:rFonts w:ascii="Gentium" w:hAnsi="Gentium" w:eastAsia="Gentium" w:cs="Gentium"/>
          <w:i/>
          <w:iCs/>
        </w:rPr>
        <w:t xml:space="preserve">Patrology. Volume 4. The Golden Age of Latin Patristic Literature. From the Council of Nicaea to the Council of Chalkedon</w:t>
      </w:r>
      <w:r>
        <w:rPr>
          <w:rFonts w:ascii="Gentium" w:hAnsi="Gentium" w:eastAsia="Gentium" w:cs="Gentium"/>
        </w:rPr>
        <w:t xml:space="preserve">. Allen, Tex.: Christian Classics, 1995 [1986].</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De Bernardino tr</w:t>
      </w:r>
      <w:r>
        <w:rPr>
          <w:rFonts w:ascii="Gentium" w:hAnsi="Gentium" w:eastAsia="Gentium" w:cs="Gentium"/>
        </w:rPr>
        <w:t xml:space="preserve">eats the socio-political context of the fourth century; Hilary of Poitiers and Arianism in the West; Ambrose, Ambrosiaster, and Nicetas; Christian poetry; Augustine; Controversies surrounding Augustine; Writers of Gaul; Italian writers up to Leo the Great.</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lang w:val="it-IT"/>
        </w:rPr>
        <w:t xml:space="preserve">Moreschini, Claudio, and Enrico Norelli. </w:t>
      </w:r>
      <w:r>
        <w:rPr>
          <w:rFonts w:ascii="Gentium" w:hAnsi="Gentium" w:eastAsia="Gentium" w:cs="Gentium"/>
          <w:i/>
          <w:iCs/>
        </w:rPr>
        <w:t xml:space="preserve">Early Christian Greek and Latin Literature: a Literary History.</w:t>
      </w:r>
      <w:r>
        <w:rPr>
          <w:rFonts w:ascii="Gentium" w:hAnsi="Gentium" w:eastAsia="Gentium" w:cs="Gentium"/>
        </w:rPr>
        <w:t xml:space="preserve"> Translated by Matthew O’Connell. 2 vols. Peabody, Mass.: Hendrickson Publishers, 2005.</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They present individuals (or works), a short biography (or background sketch), written corpus with brief descriptions of individual contents, bibliography and special studies.</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Young, Frances, Margaret, Lewis Ayres, and Andrew Louth, eds. </w:t>
      </w:r>
      <w:r>
        <w:rPr>
          <w:rFonts w:ascii="Gentium" w:hAnsi="Gentium" w:eastAsia="Gentium" w:cs="Gentium"/>
          <w:i/>
          <w:iCs/>
        </w:rPr>
        <w:t xml:space="preserve">The Cambridge History of Early Christian Literature</w:t>
      </w:r>
      <w:r>
        <w:rPr>
          <w:rFonts w:ascii="Gentium" w:hAnsi="Gentium" w:eastAsia="Gentium" w:cs="Gentium"/>
        </w:rPr>
        <w:t xml:space="preserve">. Cambridge: Cambridge University Press, 2004.</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Part one (“New Testament to Irenaeus”) traces the development of the literary culture of earliest Christianity. Part two (“The Third Century”) describes the rise of ‘ethnic’ Christian literatures (Alexandrian, Latin, Syriac)  and t</w:t>
      </w:r>
      <w:r>
        <w:rPr>
          <w:rFonts w:ascii="Gentium" w:hAnsi="Gentium" w:eastAsia="Gentium" w:cs="Gentium"/>
        </w:rPr>
        <w:t xml:space="preserve">he first formulations of Christian identity. Part three (“Foundation of a New Culture: From Diocletian to Cyril”) treats the variety of Christian literatures and their various geographical and institutional settings, including conciliar records and canons.</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bookmarkStart w:id="28" w:name="_Toc414386071"/>
      <w:r>
        <w:rPr>
          <w:rFonts w:ascii="Gentium" w:hAnsi="Gentium" w:eastAsia="Gentium" w:cs="Gentium"/>
        </w:rPr>
        <w:t xml:space="preserve">The Cultural and Material History of Early Christian Tradition Making</w:t>
      </w:r>
      <w:bookmarkEnd w:id="28"/>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sz w:val="22"/>
        </w:rPr>
      </w:pPr>
      <w:r>
        <w:rPr>
          <w:rFonts w:ascii="Gentium" w:hAnsi="Gentium" w:cs="Gentium"/>
          <w:sz w:val="22"/>
        </w:rPr>
      </w:r>
      <w:r>
        <w:rPr>
          <w:rFonts w:ascii="Gentium" w:hAnsi="Gentium" w:cs="Gentium"/>
          <w:sz w:val="22"/>
        </w:rPr>
      </w:r>
      <w:r>
        <w:rPr>
          <w:rFonts w:ascii="Gentium" w:hAnsi="Gentium" w:cs="Gentium"/>
          <w:sz w:val="22"/>
        </w:rPr>
      </w:r>
    </w:p>
    <w:p>
      <w:pPr>
        <w:pStyle w:val="1016"/>
        <w:pBdr/>
        <w:spacing w:after="0" w:afterAutospacing="0" w:before="0" w:beforeAutospacing="0"/>
        <w:ind/>
        <w:jc w:val="both"/>
        <w:rPr>
          <w:rFonts w:ascii="Gentium" w:hAnsi="Gentium" w:cs="Gentium"/>
        </w:rPr>
      </w:pPr>
      <w:r>
        <w:rPr>
          <w:rFonts w:ascii="Gentium" w:hAnsi="Gentium" w:eastAsia="Gentium" w:cs="Gentium"/>
        </w:rPr>
        <w:t xml:space="preserve">It is now generally accepted that the form of the written record of early Christianity provides testimony to historical data like social setting, social class, and proselytizing activities of early Christian groups. Gamble is a standard work on the cultura</w:t>
      </w:r>
      <w:r>
        <w:rPr>
          <w:rFonts w:ascii="Gentium" w:hAnsi="Gentium" w:eastAsia="Gentium" w:cs="Gentium"/>
        </w:rPr>
        <w:t xml:space="preserve">l history and cultural significance of Christian text production (issues of literacy, the predilection for the codex format, and the appropriation of Graeco-Roman genres from the beginning), and for information on how texts functioned and were valued in ea</w:t>
      </w:r>
      <w:r>
        <w:rPr>
          <w:rFonts w:ascii="Gentium" w:hAnsi="Gentium" w:eastAsia="Gentium" w:cs="Gentium"/>
        </w:rPr>
        <w:t xml:space="preserve">rly Christian contexts (issues of production, circulation, and collection). Hurtado is significant for his argument that for understanding early Christian history and culture attention should be paid to the physical and visual characteristics of the earlie</w:t>
      </w:r>
      <w:r>
        <w:rPr>
          <w:rFonts w:ascii="Gentium" w:hAnsi="Gentium" w:eastAsia="Gentium" w:cs="Gentium"/>
        </w:rPr>
        <w:t xml:space="preserve">st Christian artifacts, namely early Christian manuscripts. In addition, the bound codex form of early Christian manuscripts (in contrast to papyrus scrolls) was a conscious choice which signified a sense from the beginning that its message was to be circu</w:t>
      </w:r>
      <w:r>
        <w:rPr>
          <w:rFonts w:ascii="Gentium" w:hAnsi="Gentium" w:eastAsia="Gentium" w:cs="Gentium"/>
        </w:rPr>
        <w:t xml:space="preserve">lated widely. The work of Kelber, now a classic, applied studies of oral communication to the interpretation of biblical texts, arguing that early Christian texts and manuscripts continued to function in a culture and environment of oral communication, and</w:t>
      </w:r>
      <w:r>
        <w:rPr>
          <w:rFonts w:ascii="Gentium" w:hAnsi="Gentium" w:eastAsia="Gentium" w:cs="Gentium"/>
        </w:rPr>
        <w:t xml:space="preserve"> that orality significantly determines the rhetoric, the contents and organization of early Christian texts as well as the way themes, topics and motifs are presented. Kirk and Thatcher, eds., and Thatcher, ed., not only survey the impact of Kelber on the </w:t>
      </w:r>
      <w:r>
        <w:rPr>
          <w:rFonts w:ascii="Gentium" w:hAnsi="Gentium" w:eastAsia="Gentium" w:cs="Gentium"/>
        </w:rPr>
        <w:t xml:space="preserve">study of early Christian communication but also apply the insights in orality, the character of oral communication, and the oral-scribal interface to analyses of early Christian tradition formation and the making of Christian social and collective memory. </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Gamble, Harry Y. </w:t>
      </w:r>
      <w:r>
        <w:rPr>
          <w:rFonts w:ascii="Gentium" w:hAnsi="Gentium" w:eastAsia="Gentium" w:cs="Gentium"/>
          <w:i/>
          <w:iCs/>
          <w:sz w:val="24"/>
          <w:szCs w:val="24"/>
        </w:rPr>
        <w:t xml:space="preserve">Books and Readers in the Early Church. A History of Early Christian Texts</w:t>
      </w:r>
      <w:r>
        <w:rPr>
          <w:rFonts w:ascii="Gentium" w:hAnsi="Gentium" w:eastAsia="Gentium" w:cs="Gentium"/>
          <w:sz w:val="24"/>
          <w:szCs w:val="24"/>
        </w:rPr>
        <w:t xml:space="preserve">. New Haven, Conn.; London: Yale University Press, 1995.</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Early Christian literacy and the character of early Christian literature; early Christian book produc</w:t>
      </w:r>
      <w:r>
        <w:rPr>
          <w:rFonts w:ascii="Gentium" w:hAnsi="Gentium" w:eastAsia="Gentium" w:cs="Gentium"/>
          <w:sz w:val="24"/>
          <w:szCs w:val="24"/>
        </w:rPr>
        <w:t xml:space="preserve">tion (codex form and size); early Christian book publication and circulation in the light of contemporary Graeco-Roman practices; early Christian book collections, libraries from congregations to monasteries, compared to Greek, Roman, and Jewish libraries.</w:t>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Hurtado, Larry W. </w:t>
      </w:r>
      <w:r>
        <w:rPr>
          <w:rFonts w:ascii="Gentium" w:hAnsi="Gentium" w:eastAsia="Gentium" w:cs="Gentium"/>
          <w:i/>
          <w:iCs/>
        </w:rPr>
        <w:t xml:space="preserve">The Earliest Christian Artifacts: Manuscripts and Christian Origins</w:t>
      </w:r>
      <w:r>
        <w:rPr>
          <w:rFonts w:ascii="Gentium" w:hAnsi="Gentium" w:eastAsia="Gentium" w:cs="Gentium"/>
        </w:rPr>
        <w:t xml:space="preserve">. Grand Rapids, Mich.: Eerdmans, 2006.</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Hurtado argues that the Old Testament, New Testament, and other early Christian texts witne</w:t>
      </w:r>
      <w:r>
        <w:rPr>
          <w:rFonts w:ascii="Gentium" w:hAnsi="Gentium" w:eastAsia="Gentium" w:cs="Gentium"/>
        </w:rPr>
        <w:t xml:space="preserve">ssed to in early manuscripts demonstrate the broad range of writings used by early Christians and the relative popularity of certain writings; that the use of the codex as preferred form for writings considered scripture was a specific Christian invention.</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37"/>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Kelber, Werner H. </w:t>
      </w:r>
      <w:r>
        <w:rPr>
          <w:rFonts w:ascii="Gentium" w:hAnsi="Gentium" w:eastAsia="Gentium" w:cs="Gentium"/>
          <w:i/>
          <w:iCs/>
          <w:sz w:val="24"/>
          <w:szCs w:val="24"/>
        </w:rPr>
        <w:t xml:space="preserve">The Oral and the Written Gospel. The Hermeneutics of Speaking and Writing in the Synoptic Tradition, Mark, Paul, and Q</w:t>
      </w:r>
      <w:r>
        <w:rPr>
          <w:rFonts w:ascii="Gentium" w:hAnsi="Gentium" w:eastAsia="Gentium" w:cs="Gentium"/>
          <w:sz w:val="24"/>
          <w:szCs w:val="24"/>
        </w:rPr>
        <w:t xml:space="preserve">. Revised edition with new introduction. Bloomington, Ind.: Indiana University Press, 1997.</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The book contains a new introduction surveying and responding to early reception and critique of his thesis. Kelber surveys pre-canonical gospel transmission considering some modern trans</w:t>
      </w:r>
      <w:r>
        <w:rPr>
          <w:rFonts w:ascii="Gentium" w:hAnsi="Gentium" w:eastAsia="Gentium" w:cs="Gentium"/>
          <w:sz w:val="24"/>
          <w:szCs w:val="24"/>
        </w:rPr>
        <w:t xml:space="preserve">mission theories. He then discusses oral features and textuality in the Gospel of Mark; the interplay of orality and textuality in Pauline discourse; ending with the thesis of the written Markan passion narrative as repudiation of oral Jesus transmissions.</w:t>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Kirk, Alan, and Tom Thatcher, eds. </w:t>
      </w:r>
      <w:r>
        <w:rPr>
          <w:rFonts w:ascii="Gentium" w:hAnsi="Gentium" w:eastAsia="Gentium" w:cs="Gentium"/>
          <w:i/>
          <w:iCs/>
          <w:sz w:val="24"/>
          <w:szCs w:val="24"/>
        </w:rPr>
        <w:t xml:space="preserve">Memory, Tradition, and Text. Uses of the Past in Early Christianity</w:t>
      </w:r>
      <w:r>
        <w:rPr>
          <w:rFonts w:ascii="Gentium" w:hAnsi="Gentium" w:eastAsia="Gentium" w:cs="Gentium"/>
          <w:sz w:val="24"/>
          <w:szCs w:val="24"/>
        </w:rPr>
        <w:t xml:space="preserve">. Vol. 52. Semeia Studies. Atlanta, Ga.: Society of Biblical Literature, 2005.</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The volume focuses on social and cultural memory with various es</w:t>
      </w:r>
      <w:r>
        <w:rPr>
          <w:rFonts w:ascii="Gentium" w:hAnsi="Gentium" w:eastAsia="Gentium" w:cs="Gentium"/>
          <w:sz w:val="24"/>
          <w:szCs w:val="24"/>
        </w:rPr>
        <w:t xml:space="preserve">says applying memory theory to Jesus traditions and their transmission, Christian origins, individual Gospels or aspects of Gospels, Pauline and later first century Christian literature, Jewish birth narratives and women’s social memory, Gospel of Thomas. </w:t>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Thatcher, Tom, ed. </w:t>
      </w:r>
      <w:r>
        <w:rPr>
          <w:rFonts w:ascii="Gentium" w:hAnsi="Gentium" w:eastAsia="Gentium" w:cs="Gentium"/>
          <w:i/>
          <w:iCs/>
          <w:sz w:val="24"/>
          <w:szCs w:val="24"/>
        </w:rPr>
        <w:t xml:space="preserve">Jesus, the Voice, and the Text: Beyond the Oral and Written Gospel</w:t>
      </w:r>
      <w:r>
        <w:rPr>
          <w:rFonts w:ascii="Gentium" w:hAnsi="Gentium" w:eastAsia="Gentium" w:cs="Gentium"/>
          <w:sz w:val="24"/>
          <w:szCs w:val="24"/>
        </w:rPr>
        <w:t xml:space="preserve">. Waco, Tex.: Baylor University Press, 2008.</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The authors interact with Kelber’s media history of early Christianity</w:t>
      </w:r>
      <w:r>
        <w:rPr>
          <w:rFonts w:ascii="Gentium" w:hAnsi="Gentium" w:eastAsia="Gentium" w:cs="Gentium"/>
          <w:sz w:val="24"/>
          <w:szCs w:val="24"/>
        </w:rPr>
        <w:t xml:space="preserve"> and apply oral hermeneutics and memory studies applied to Jesus traditions, Gospel of Mark, the Didache. The volume also investigates various aspects of orality, memory, and scribal communication in the ancient Mediterranean world and early Christianity. </w:t>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41"/>
        <w:pBdr/>
        <w:spacing/>
        <w:ind/>
        <w:rPr>
          <w:rFonts w:ascii="Gentium" w:hAnsi="Gentium" w:cs="Gentium"/>
        </w:rPr>
      </w:pPr>
      <w:r/>
      <w:bookmarkStart w:id="29" w:name="_Toc414386072"/>
      <w:r>
        <w:rPr>
          <w:rFonts w:ascii="Gentium" w:hAnsi="Gentium" w:eastAsia="Gentium" w:cs="Gentium"/>
        </w:rPr>
        <w:t xml:space="preserve">The Canon of the New Testament and its Formation</w:t>
      </w:r>
      <w:bookmarkEnd w:id="29"/>
      <w:r>
        <w:rPr>
          <w:rFonts w:ascii="Gentium" w:hAnsi="Gentium" w:cs="Gentium"/>
        </w:rPr>
      </w:r>
      <w:r>
        <w:rPr>
          <w:rFonts w:ascii="Gentium" w:hAnsi="Gentium" w:cs="Gentium"/>
        </w:rPr>
      </w:r>
    </w:p>
    <w:p>
      <w:pPr>
        <w:pStyle w:val="937"/>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eastAsia="Gentium" w:cs="Gentium"/>
          <w:sz w:val="24"/>
          <w:szCs w:val="24"/>
        </w:rPr>
        <w:t xml:space="preserve">As in the case of oth</w:t>
      </w:r>
      <w:r>
        <w:rPr>
          <w:rFonts w:ascii="Gentium" w:hAnsi="Gentium" w:eastAsia="Gentium" w:cs="Gentium"/>
          <w:sz w:val="24"/>
          <w:szCs w:val="24"/>
        </w:rPr>
        <w:t xml:space="preserve">er rubrics, there is also in the consideration of the formation and status of the canon of the New Testament two broad streams of opinion discernible. One is a more conventional, theological, perspective in which the existence and shaping of the canon is s</w:t>
      </w:r>
      <w:r>
        <w:rPr>
          <w:rFonts w:ascii="Gentium" w:hAnsi="Gentium" w:eastAsia="Gentium" w:cs="Gentium"/>
          <w:sz w:val="24"/>
          <w:szCs w:val="24"/>
        </w:rPr>
        <w:t xml:space="preserve">een as the result of a linear development of tradition from Jesus traditions over the corpus of apostolic and post-apostolic writings to growing recognition of authoritative writings that encompass what we now know as the New Testament to later canon lists</w:t>
      </w:r>
      <w:r>
        <w:rPr>
          <w:rFonts w:ascii="Gentium" w:hAnsi="Gentium" w:eastAsia="Gentium" w:cs="Gentium"/>
          <w:sz w:val="24"/>
          <w:szCs w:val="24"/>
        </w:rPr>
        <w:t xml:space="preserve"> in a seemingly univocal manner. Over against that is the perspective that emphasizes diversity, with a widely diverse body of literature produced in the course of the first four or so Christian centuries, many of which were at some point regarded as scrip</w:t>
      </w:r>
      <w:r>
        <w:rPr>
          <w:rFonts w:ascii="Gentium" w:hAnsi="Gentium" w:eastAsia="Gentium" w:cs="Gentium"/>
          <w:sz w:val="24"/>
          <w:szCs w:val="24"/>
        </w:rPr>
        <w:t xml:space="preserve">ture. In this view the canonization process is an essentially imperial process of drawing boundaries and constructing orthodox Christianity with the exclusion and marginalization of some groups and the writings associated with “deviant” groups and figures.</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eastAsia="Gentium" w:cs="Gentium"/>
          <w:sz w:val="24"/>
          <w:szCs w:val="24"/>
        </w:rPr>
        <w:t xml:space="preserve">Trebolle Barrera is a comprehensive introduction to methods of tradition and book production in the ancient world, with histories of canons and canon formation, the various versions of the Old and New Testaments, textual criticism, ending with a sectio</w:t>
      </w:r>
      <w:r>
        <w:rPr>
          <w:rFonts w:ascii="Gentium" w:hAnsi="Gentium" w:eastAsia="Gentium" w:cs="Gentium"/>
          <w:sz w:val="24"/>
          <w:szCs w:val="24"/>
        </w:rPr>
        <w:t xml:space="preserve">n on reception history and interpretation encoded in the ongoing textual traditions and hermeneutics. Metzger is the classic book on the New Testament canon, its history and factors influencing its formation, the geographical specifics of canonicity, and h</w:t>
      </w:r>
      <w:r>
        <w:rPr>
          <w:rFonts w:ascii="Gentium" w:hAnsi="Gentium" w:eastAsia="Gentium" w:cs="Gentium"/>
          <w:sz w:val="24"/>
          <w:szCs w:val="24"/>
        </w:rPr>
        <w:t xml:space="preserve">istorical and theological problems relating to the concept of the canon. McDonald is an accessible, though scholarly, book situated somewhere between Trebolle Barrera and Metzger. An introduction on scriptural canons in the ancient world is followed by sec</w:t>
      </w:r>
      <w:r>
        <w:rPr>
          <w:rFonts w:ascii="Gentium" w:hAnsi="Gentium" w:eastAsia="Gentium" w:cs="Gentium"/>
          <w:sz w:val="24"/>
          <w:szCs w:val="24"/>
        </w:rPr>
        <w:t xml:space="preserve">tions on the evidences for gradual canon formation of Hebrew scriptures and their reception into early Christianity and rabbinic Judaism; as well as the growth of scriptural tradition in the early church and canon formation. McDonald and Sanders, eds., inv</w:t>
      </w:r>
      <w:r>
        <w:rPr>
          <w:rFonts w:ascii="Gentium" w:hAnsi="Gentium" w:eastAsia="Gentium" w:cs="Gentium"/>
          <w:sz w:val="24"/>
          <w:szCs w:val="24"/>
        </w:rPr>
        <w:t xml:space="preserve">estigate questions raised in debates on the early closures and forms of Old Testament and New Testament canons, as well as the status and changeability of the Christian canon. It contains extensive historical overviews of canon-making, of various canons, a</w:t>
      </w:r>
      <w:r>
        <w:rPr>
          <w:rFonts w:ascii="Gentium" w:hAnsi="Gentium" w:eastAsia="Gentium" w:cs="Gentium"/>
          <w:sz w:val="24"/>
          <w:szCs w:val="24"/>
        </w:rPr>
        <w:t xml:space="preserve">s well as the significance of these varied historical processes for scholarship and Christianity. For a more popular introduction to the collection of early Christian writings that “became apocryphal” see the work of Ehrman (which is a companion volume to </w:t>
      </w:r>
      <w:r>
        <w:rPr>
          <w:rFonts w:ascii="Gentium" w:hAnsi="Gentium" w:eastAsia="Gentium" w:cs="Gentium"/>
          <w:i/>
          <w:sz w:val="24"/>
          <w:szCs w:val="24"/>
        </w:rPr>
        <w:t xml:space="preserve">Lost Christianities</w:t>
      </w:r>
      <w:r>
        <w:rPr>
          <w:rFonts w:ascii="Gentium" w:hAnsi="Gentium" w:eastAsia="Gentium" w:cs="Gentium"/>
          <w:sz w:val="24"/>
          <w:szCs w:val="24"/>
        </w:rPr>
        <w:t xml:space="preserve">, w</w:t>
      </w:r>
      <w:r>
        <w:rPr>
          <w:rFonts w:ascii="Gentium" w:hAnsi="Gentium" w:eastAsia="Gentium" w:cs="Gentium"/>
          <w:sz w:val="24"/>
          <w:szCs w:val="24"/>
        </w:rPr>
        <w:t xml:space="preserve">hich discusses these early Christian books). Ehrman contends that early Christianity comprised not only a greater variety of viewpoints than later stabilized into orthodoxy, but also a greater variety of variously accepted literature than later canonized. </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eastAsia="Gentium" w:cs="Gentium"/>
          <w:sz w:val="24"/>
          <w:szCs w:val="24"/>
        </w:rPr>
        <w:t xml:space="preserve">Trebolle Barrera, Julio. </w:t>
      </w:r>
      <w:r>
        <w:rPr>
          <w:rFonts w:ascii="Gentium" w:hAnsi="Gentium" w:eastAsia="Gentium" w:cs="Gentium"/>
          <w:i/>
          <w:iCs/>
          <w:sz w:val="24"/>
          <w:szCs w:val="24"/>
        </w:rPr>
        <w:t xml:space="preserve">The Jewish Bible and the Christian Bible. An Introduction to the History of the Bible</w:t>
      </w:r>
      <w:r>
        <w:rPr>
          <w:rFonts w:ascii="Gentium" w:hAnsi="Gentium" w:eastAsia="Gentium" w:cs="Gentium"/>
          <w:sz w:val="24"/>
          <w:szCs w:val="24"/>
        </w:rPr>
        <w:t xml:space="preserve">. Translated by Wifred G. E. Watson. Leiden; Grand Rapids, Mich.: Brill; Eerdmans, 1998.</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This volume starts ‘before the book’, with ancient biblical languages, book production in antiquity, translations, scribal activities, sacred books, and then goes to the literary and social </w:t>
      </w:r>
      <w:r>
        <w:rPr>
          <w:rFonts w:ascii="Gentium" w:hAnsi="Gentium" w:eastAsia="Gentium" w:cs="Gentium"/>
          <w:sz w:val="24"/>
          <w:szCs w:val="24"/>
        </w:rPr>
        <w:t xml:space="preserve">history of the biblical canon, and collections of early Christian canonical and non-canonical writings. This leads to the textual history and criticism of the Bible ending with comprehensive overview of hermeneutics and text interpretation through history.</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Metzger, Bruce Manning. </w:t>
      </w:r>
      <w:r>
        <w:rPr>
          <w:rFonts w:ascii="Gentium" w:hAnsi="Gentium" w:eastAsia="Gentium" w:cs="Gentium"/>
          <w:i/>
          <w:iCs/>
        </w:rPr>
        <w:t xml:space="preserve">The Canon of the New Testament. Its Origin, Development, and Significance</w:t>
      </w:r>
      <w:r>
        <w:rPr>
          <w:rFonts w:ascii="Gentium" w:hAnsi="Gentium" w:eastAsia="Gentium" w:cs="Gentium"/>
        </w:rPr>
        <w:t xml:space="preserve">. New York, N.Y.: Oxford University Press, 1987.</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Metzger provides a survey of the literature on the canon, then proceeds to an exposition of the formation history of the New Testament canon</w:t>
      </w:r>
      <w:r>
        <w:rPr>
          <w:rFonts w:ascii="Gentium" w:hAnsi="Gentium" w:eastAsia="Gentium" w:cs="Gentium"/>
        </w:rPr>
        <w:t xml:space="preserve"> and the historical influences bearing on the formation of the canon. Then he deals with the historical shapes of various canons and evidence for them, as well as later debates on the canon. A last section deals with contemporary evaluations of canonicity.</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McDonald, Lee Martin. </w:t>
      </w:r>
      <w:r>
        <w:rPr>
          <w:rFonts w:ascii="Gentium" w:hAnsi="Gentium" w:eastAsia="Gentium" w:cs="Gentium"/>
          <w:i/>
          <w:iCs/>
          <w:sz w:val="24"/>
          <w:szCs w:val="24"/>
        </w:rPr>
        <w:t xml:space="preserve">The Biblical Canon: Its Origin, Transmission, and Authority</w:t>
      </w:r>
      <w:r>
        <w:rPr>
          <w:rFonts w:ascii="Gentium" w:hAnsi="Gentium" w:eastAsia="Gentium" w:cs="Gentium"/>
          <w:sz w:val="24"/>
          <w:szCs w:val="24"/>
        </w:rPr>
        <w:t xml:space="preserve">. Peabody, Mass.: Hendrickson, 2007.</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McDonald opens the volume with concepts of scripture and canon in antiquity and in the biblic</w:t>
      </w:r>
      <w:r>
        <w:rPr>
          <w:rFonts w:ascii="Gentium" w:hAnsi="Gentium" w:eastAsia="Gentium" w:cs="Gentium"/>
          <w:sz w:val="24"/>
          <w:szCs w:val="24"/>
        </w:rPr>
        <w:t xml:space="preserve">al world and then describes the long and complex history of canon formation from the first literary traditions to a fully recognized set of canonical writings for both Old and New Testament. Various appendices provide data and resources for further study. </w:t>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eastAsia="Gentium" w:cs="Gentium"/>
          <w:sz w:val="24"/>
          <w:szCs w:val="24"/>
        </w:rPr>
        <w:t xml:space="preserve">McDonald, Lee Martin, and James A. Sanders, eds. </w:t>
      </w:r>
      <w:r>
        <w:rPr>
          <w:rFonts w:ascii="Gentium" w:hAnsi="Gentium" w:eastAsia="Gentium" w:cs="Gentium"/>
          <w:i/>
          <w:iCs/>
          <w:sz w:val="24"/>
          <w:szCs w:val="24"/>
        </w:rPr>
        <w:t xml:space="preserve">The Canon Debate</w:t>
      </w:r>
      <w:r>
        <w:rPr>
          <w:rFonts w:ascii="Gentium" w:hAnsi="Gentium" w:eastAsia="Gentium" w:cs="Gentium"/>
          <w:sz w:val="24"/>
          <w:szCs w:val="24"/>
        </w:rPr>
        <w:t xml:space="preserve">. Peabody, Mass.: Hendrickson, 2002.</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Essays reflect the state of contemporary research on aspects of canonicity, revisit and reconsider important facets of conventional scholarship </w:t>
      </w:r>
      <w:r>
        <w:rPr>
          <w:rFonts w:ascii="Gentium" w:hAnsi="Gentium" w:eastAsia="Gentium" w:cs="Gentium"/>
          <w:sz w:val="24"/>
          <w:szCs w:val="24"/>
        </w:rPr>
        <w:t xml:space="preserve">on the biblical canon. The volume sets out the issues and key terms of the debate and then reviews the complex formation history of both biblical canons, also reconsidering accepted views on textual criticism, and significance of the canon for the church. </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Ehrman, Bart D. </w:t>
      </w:r>
      <w:r>
        <w:rPr>
          <w:rFonts w:ascii="Gentium" w:hAnsi="Gentium" w:eastAsia="Gentium" w:cs="Gentium"/>
          <w:i/>
          <w:iCs/>
        </w:rPr>
        <w:t xml:space="preserve">Lost Scriptures: Books That Did Not Make It into the New Testament</w:t>
      </w:r>
      <w:r>
        <w:rPr>
          <w:rFonts w:ascii="Gentium" w:hAnsi="Gentium" w:eastAsia="Gentium" w:cs="Gentium"/>
        </w:rPr>
        <w:t xml:space="preserve">. New York, N.Y.: Oxford University Press, 2003.</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Introductions to and translations of apocryphal Christian</w:t>
      </w:r>
      <w:r>
        <w:rPr>
          <w:rFonts w:ascii="Gentium" w:hAnsi="Gentium" w:eastAsia="Gentium" w:cs="Gentium"/>
        </w:rPr>
        <w:t xml:space="preserve"> writings arranged in various categories: non-canonical gospels; non-canonical acts of apostles; non-canonical epistles and related writings; non-canonical apocalypses and revelatory treatises; concluding with introductions and translations of canon lists.</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0"/>
        <w:pBdr/>
        <w:spacing/>
        <w:ind/>
        <w:rPr>
          <w:rFonts w:ascii="Gentium" w:hAnsi="Gentium" w:cs="Gentium"/>
        </w:rPr>
      </w:pPr>
      <w:r>
        <w:rPr>
          <w:rFonts w:ascii="Gentium" w:hAnsi="Gentium" w:eastAsia="Gentium" w:cs="Gentium"/>
        </w:rPr>
        <w:tab/>
      </w:r>
      <w:bookmarkStart w:id="30" w:name="_Toc414386073"/>
      <w:r>
        <w:rPr>
          <w:rFonts w:ascii="Gentium" w:hAnsi="Gentium" w:eastAsia="Gentium" w:cs="Gentium"/>
        </w:rPr>
        <w:t xml:space="preserve">Texts, Translations, and Critical Editions</w:t>
      </w:r>
      <w:bookmarkEnd w:id="30"/>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i/>
        </w:rPr>
      </w:pPr>
      <w:r>
        <w:rPr>
          <w:rFonts w:ascii="Gentium" w:hAnsi="Gentium" w:cs="Gentium"/>
          <w:i/>
        </w:rPr>
      </w:r>
      <w:r>
        <w:rPr>
          <w:rFonts w:ascii="Gentium" w:hAnsi="Gentium" w:cs="Gentium"/>
          <w:i/>
        </w:rPr>
      </w:r>
      <w:r>
        <w:rPr>
          <w:rFonts w:ascii="Gentium" w:hAnsi="Gentium" w:cs="Gentium"/>
          <w:i/>
        </w:rPr>
      </w:r>
    </w:p>
    <w:p>
      <w:pPr>
        <w:pStyle w:val="1016"/>
        <w:pBdr/>
        <w:spacing w:after="0" w:afterAutospacing="0" w:before="0" w:beforeAutospacing="0"/>
        <w:ind/>
        <w:jc w:val="both"/>
        <w:rPr>
          <w:rFonts w:ascii="Gentium" w:hAnsi="Gentium" w:cs="Gentium"/>
        </w:rPr>
      </w:pPr>
      <w:r>
        <w:rPr>
          <w:rFonts w:ascii="Gentium" w:hAnsi="Gentium" w:eastAsia="Gentium" w:cs="Gentium"/>
        </w:rPr>
        <w:t xml:space="preserve">There is no shortage of published sources for the study of early Christian literature. Below is listed some accessible translations of source material, but mostly scholarly editi</w:t>
      </w:r>
      <w:r>
        <w:rPr>
          <w:rFonts w:ascii="Gentium" w:hAnsi="Gentium" w:eastAsia="Gentium" w:cs="Gentium"/>
        </w:rPr>
        <w:t xml:space="preserve">ons (both critical and in the original language, and in translation) of early Christian literature. Most collections are supplied with introductions to the literature and other relevant aspects; scholarly thematic articles and indices make these resources </w:t>
      </w:r>
      <w:r>
        <w:rPr>
          <w:rFonts w:ascii="Gentium" w:hAnsi="Gentium" w:eastAsia="Gentium" w:cs="Gentium"/>
        </w:rPr>
        <w:t xml:space="preserve">also good research tools. At the end a selection of a few more popular online resources are also given (please note that the URL’s were correct and working at the time of writing, and that the quality of the translations have not been extensively checked).</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rPr>
          <w:rFonts w:ascii="Gentium" w:hAnsi="Gentium" w:eastAsia="Gentium" w:cs="Gentium"/>
        </w:rPr>
        <w:t xml:space="preserve">General collections of translated texts </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rPr>
        <w:t xml:space="preserve">The literature noted here are available in easily accessible translations, some also available online. Ehrman and </w:t>
      </w:r>
      <w:r>
        <w:rPr>
          <w:rFonts w:ascii="Gentium" w:hAnsi="Gentium" w:eastAsia="Gentium" w:cs="Gentium"/>
        </w:rPr>
        <w:t xml:space="preserve">Jacobs, and Ehrman 1999, are readers presenting selections of texts illustrating particular aspects of the formation history of early Christianity – not only ‘religious’ or devotional texts but also instructional, creedal, historical texts. The two series </w:t>
      </w:r>
      <w:r>
        <w:rPr>
          <w:rFonts w:ascii="Gentium" w:hAnsi="Gentium" w:eastAsia="Gentium" w:cs="Gentium"/>
          <w:i/>
          <w:iCs/>
        </w:rPr>
        <w:t xml:space="preserve">Ante-Nicene Fathers</w:t>
      </w:r>
      <w:r>
        <w:rPr>
          <w:rFonts w:ascii="Gentium" w:hAnsi="Gentium" w:eastAsia="Gentium" w:cs="Gentium"/>
        </w:rPr>
        <w:t xml:space="preserve"> and </w:t>
      </w:r>
      <w:r>
        <w:rPr>
          <w:rFonts w:ascii="Gentium" w:hAnsi="Gentium" w:eastAsia="Gentium" w:cs="Gentium"/>
          <w:i/>
          <w:iCs/>
        </w:rPr>
        <w:t xml:space="preserve">Nicene and Post-Nicene Fathers</w:t>
      </w:r>
      <w:r>
        <w:rPr>
          <w:rFonts w:ascii="Gentium" w:hAnsi="Gentium" w:eastAsia="Gentium" w:cs="Gentium"/>
        </w:rPr>
        <w:t xml:space="preserve"> are comprehensive and voluminous resources on a wide variety of Christian literature from the late first to seve</w:t>
      </w:r>
      <w:r>
        <w:rPr>
          <w:rFonts w:ascii="Gentium" w:hAnsi="Gentium" w:eastAsia="Gentium" w:cs="Gentium"/>
        </w:rPr>
        <w:t xml:space="preserve">nth centuries C.E. They are easy to consult but one should be aware that they reflect a state of the literary finds as it obtained in the late nineteenth century and are now dated translations that do not reflect more recent critical work in text editions.</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Ehrman, Bart D, and Andrew S. Jacobs. </w:t>
      </w:r>
      <w:r>
        <w:rPr>
          <w:rFonts w:ascii="Gentium" w:hAnsi="Gentium" w:eastAsia="Gentium" w:cs="Gentium"/>
          <w:i/>
          <w:iCs/>
          <w:sz w:val="24"/>
          <w:szCs w:val="24"/>
        </w:rPr>
        <w:t xml:space="preserve">Christianity in Late Antiquity, 300-450 C.E.: a Reader</w:t>
      </w:r>
      <w:r>
        <w:rPr>
          <w:rFonts w:ascii="Gentium" w:hAnsi="Gentium" w:eastAsia="Gentium" w:cs="Gentium"/>
          <w:sz w:val="24"/>
          <w:szCs w:val="24"/>
        </w:rPr>
        <w:t xml:space="preserve">. New York, N.Y.: Oxford University Press, 2004.</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Selected texts, translated and introduced, illustrating a wide range of aspects of early Christian history; with an introduction to Late Antiquity as the context for Christianity in the newly Christianized Empire; selecti</w:t>
      </w:r>
      <w:r>
        <w:rPr>
          <w:rFonts w:ascii="Gentium" w:hAnsi="Gentium" w:eastAsia="Gentium" w:cs="Gentium"/>
          <w:sz w:val="24"/>
          <w:szCs w:val="24"/>
        </w:rPr>
        <w:t xml:space="preserve">ons arranged in topical sections relating to persecution, the relation to the imperial house, becoming a Christian, heresy and orthodoxy, canons and creeds, asceticism, pilgrimages and saints, the Christian Bible, and Christianity outside the Roman Empire.</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Ehrman, Bart D. </w:t>
      </w:r>
      <w:r>
        <w:rPr>
          <w:rFonts w:ascii="Gentium" w:hAnsi="Gentium" w:eastAsia="Gentium" w:cs="Gentium"/>
          <w:i/>
          <w:iCs/>
        </w:rPr>
        <w:t xml:space="preserve">After the New Testament: A Reader in Early Christianity</w:t>
      </w:r>
      <w:r>
        <w:rPr>
          <w:rFonts w:ascii="Gentium" w:hAnsi="Gentium" w:eastAsia="Gentium" w:cs="Gentium"/>
        </w:rPr>
        <w:t xml:space="preserve">. New York, N.Y.: Oxford University Press, 1999.</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A sourcebook of selected primary texts spanning the second and third centuries illustrating the rich diversity of Christian beliefs, practices, ethics, experiences, confrontations, and self-understandings. Included are texts drawn f</w:t>
      </w:r>
      <w:r>
        <w:rPr>
          <w:rFonts w:ascii="Gentium" w:hAnsi="Gentium" w:eastAsia="Gentium" w:cs="Gentium"/>
        </w:rPr>
        <w:t xml:space="preserve">rom the Apostolic Fathers, the writings of Nag Hammadi, early pseudepigrapha, martyrologies, anti-Jewish tractates, heresiologies, canon lists, church orders, liturgical texts, and theological treatises. Texts organized under social and historical rubrics.</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Roberts, Alexander, James Donaldson, Philip Schaff, Henry Wace, and A. Cleveland Cox, eds. </w:t>
      </w:r>
      <w:r>
        <w:rPr>
          <w:rFonts w:ascii="Gentium" w:hAnsi="Gentium" w:eastAsia="Gentium" w:cs="Gentium"/>
          <w:i/>
          <w:iCs/>
          <w:sz w:val="24"/>
          <w:szCs w:val="24"/>
        </w:rPr>
        <w:t xml:space="preserve">The Ante-Nicene Fathers: The Writings of the Fathers down to A.D. 325</w:t>
      </w:r>
      <w:r>
        <w:rPr>
          <w:rFonts w:ascii="Gentium" w:hAnsi="Gentium" w:eastAsia="Gentium" w:cs="Gentium"/>
          <w:sz w:val="24"/>
          <w:szCs w:val="24"/>
        </w:rPr>
        <w:t xml:space="preserve">. 10 vols. Peabody, Mass.: Hendrickson Publishers, 1994.</w:t>
      </w:r>
      <w:r>
        <w:rPr>
          <w:rFonts w:ascii="Gentium" w:hAnsi="Gentium" w:cs="Gentium"/>
          <w:sz w:val="24"/>
          <w:szCs w:val="24"/>
        </w:rPr>
      </w:r>
      <w:r>
        <w:rPr>
          <w:rFonts w:ascii="Gentium" w:hAnsi="Gentium" w:cs="Gentium"/>
          <w:sz w:val="24"/>
          <w:szCs w:val="24"/>
        </w:rPr>
      </w:r>
    </w:p>
    <w:p>
      <w:pPr>
        <w:pStyle w:val="937"/>
        <w:pBdr/>
        <w:spacing w:line="240" w:lineRule="auto"/>
        <w:ind w:left="680"/>
        <w:jc w:val="both"/>
        <w:rPr>
          <w:rFonts w:ascii="Gentium" w:hAnsi="Gentium" w:cs="Gentium"/>
        </w:rPr>
      </w:pPr>
      <w:r>
        <w:rPr>
          <w:rFonts w:ascii="Gentium" w:hAnsi="Gentium" w:eastAsia="Gentium" w:cs="Gentium"/>
          <w:sz w:val="24"/>
          <w:szCs w:val="24"/>
        </w:rPr>
        <w:t xml:space="preserve">A very widely used English translation of early Christian literature, published from 1867 onwards to the end of the 19</w:t>
      </w:r>
      <w:r>
        <w:rPr>
          <w:rFonts w:ascii="Gentium" w:hAnsi="Gentium" w:eastAsia="Gentium" w:cs="Gentium"/>
          <w:sz w:val="24"/>
          <w:szCs w:val="24"/>
          <w:vertAlign w:val="superscript"/>
        </w:rPr>
        <w:t xml:space="preserve">th</w:t>
      </w:r>
      <w:r>
        <w:rPr>
          <w:rFonts w:ascii="Gentium" w:hAnsi="Gentium" w:eastAsia="Gentium" w:cs="Gentium"/>
          <w:sz w:val="24"/>
          <w:szCs w:val="24"/>
        </w:rPr>
        <w:t xml:space="preserve"> century. Now outdated, but still useful because of easy access and searchability. Also available online at </w:t>
      </w:r>
      <w:hyperlink r:id="rId21" w:tooltip="http://www.ccel.org/fathers.html" w:history="1">
        <w:r>
          <w:rPr>
            <w:rStyle w:val="976"/>
            <w:rFonts w:ascii="Gentium" w:hAnsi="Gentium" w:eastAsia="Gentium" w:cs="Gentium"/>
            <w:sz w:val="24"/>
            <w:szCs w:val="24"/>
          </w:rPr>
          <w:t xml:space="preserve">http://www.ccel.org/fathers.html</w:t>
        </w:r>
      </w:hyperlink>
      <w:r>
        <w:rPr>
          <w:rStyle w:val="976"/>
          <w:rFonts w:ascii="Gentium" w:hAnsi="Gentium" w:eastAsia="Gentium" w:cs="Gentium"/>
          <w:sz w:val="24"/>
          <w:szCs w:val="24"/>
        </w:rPr>
        <w:t xml:space="preserve">. </w:t>
      </w:r>
      <w:r>
        <w:rPr>
          <w:rStyle w:val="976"/>
          <w:rFonts w:ascii="Gentium" w:hAnsi="Gentium" w:eastAsia="Gentium" w:cs="Gentium"/>
          <w:color w:val="auto"/>
          <w:sz w:val="24"/>
          <w:szCs w:val="24"/>
          <w:u w:val="none"/>
        </w:rPr>
        <w:t xml:space="preserve">From the Apostolic Fathers, through apocryphal literature and apologists, early heresiologies.</w:t>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Roberts, Alexander, James Donaldson, Philip Schaff, and Henry Wace, eds. </w:t>
      </w:r>
      <w:r>
        <w:rPr>
          <w:rFonts w:ascii="Gentium" w:hAnsi="Gentium" w:eastAsia="Gentium" w:cs="Gentium"/>
          <w:i/>
          <w:iCs/>
          <w:sz w:val="24"/>
          <w:szCs w:val="24"/>
        </w:rPr>
        <w:t xml:space="preserve">Nicene and Post-nicene Fathers. First Series.</w:t>
      </w:r>
      <w:r>
        <w:rPr>
          <w:rFonts w:ascii="Gentium" w:hAnsi="Gentium" w:eastAsia="Gentium" w:cs="Gentium"/>
          <w:sz w:val="24"/>
          <w:szCs w:val="24"/>
        </w:rPr>
        <w:t xml:space="preserve"> 14 vols. Peabody, Mass.: Hendrickson, 1994.</w:t>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eastAsia="Gentium" w:cs="Gentium"/>
          <w:sz w:val="24"/>
          <w:szCs w:val="24"/>
        </w:rPr>
        <w:t xml:space="preserve">———</w:t>
      </w:r>
      <w:r>
        <w:rPr>
          <w:rFonts w:ascii="Gentium" w:hAnsi="Gentium" w:eastAsia="Gentium" w:cs="Gentium"/>
          <w:sz w:val="24"/>
          <w:szCs w:val="24"/>
        </w:rPr>
        <w:t xml:space="preserve">. , eds. </w:t>
      </w:r>
      <w:r>
        <w:rPr>
          <w:rFonts w:ascii="Gentium" w:hAnsi="Gentium" w:eastAsia="Gentium" w:cs="Gentium"/>
          <w:i/>
          <w:iCs/>
          <w:sz w:val="24"/>
          <w:szCs w:val="24"/>
        </w:rPr>
        <w:t xml:space="preserve">Nicene and Post-Nicene Fathers: Second Series</w:t>
      </w:r>
      <w:r>
        <w:rPr>
          <w:rFonts w:ascii="Gentium" w:hAnsi="Gentium" w:eastAsia="Gentium" w:cs="Gentium"/>
          <w:sz w:val="24"/>
          <w:szCs w:val="24"/>
        </w:rPr>
        <w:t xml:space="preserve">. 14 vols. Peabody, Mass.: Hendrickson, 1996.</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iCs/>
          <w:color w:val="3d3d3d"/>
          <w:sz w:val="13"/>
          <w:szCs w:val="13"/>
        </w:rPr>
      </w:pPr>
      <w:r>
        <w:rPr>
          <w:rFonts w:ascii="Gentium" w:hAnsi="Gentium" w:eastAsia="Gentium" w:cs="Gentium"/>
          <w:sz w:val="24"/>
          <w:szCs w:val="24"/>
        </w:rPr>
        <w:t xml:space="preserve">A very widely used English translation of early Christian literature, published from 1867 onwards to the end of the 19</w:t>
      </w:r>
      <w:r>
        <w:rPr>
          <w:rFonts w:ascii="Gentium" w:hAnsi="Gentium" w:eastAsia="Gentium" w:cs="Gentium"/>
          <w:sz w:val="24"/>
          <w:szCs w:val="24"/>
          <w:vertAlign w:val="superscript"/>
        </w:rPr>
        <w:t xml:space="preserve">th</w:t>
      </w:r>
      <w:r>
        <w:rPr>
          <w:rFonts w:ascii="Gentium" w:hAnsi="Gentium" w:eastAsia="Gentium" w:cs="Gentium"/>
          <w:sz w:val="24"/>
          <w:szCs w:val="24"/>
        </w:rPr>
        <w:t xml:space="preserve"> century. Series one is devoted to Augustine </w:t>
      </w:r>
      <w:r>
        <w:rPr>
          <w:rFonts w:ascii="Gentium" w:hAnsi="Gentium" w:eastAsia="Gentium" w:cs="Gentium"/>
          <w:sz w:val="24"/>
          <w:szCs w:val="24"/>
        </w:rPr>
        <w:t xml:space="preserve">and John Chrysostom, while series two covers the church histories, the fathers of the fourth to seventh centuries plus the seven ecumenical councils. Now outdated, but still useful because of ease of access and easy searchability. Also available online at </w:t>
      </w:r>
      <w:hyperlink r:id="rId22" w:tooltip="http://www.ccel.org/fathers.html" w:history="1">
        <w:r>
          <w:rPr>
            <w:rStyle w:val="976"/>
            <w:rFonts w:ascii="Gentium" w:hAnsi="Gentium" w:eastAsia="Gentium" w:cs="Gentium"/>
            <w:sz w:val="24"/>
            <w:szCs w:val="24"/>
          </w:rPr>
          <w:t xml:space="preserve">http://www.ccel.org/fathers.html</w:t>
        </w:r>
      </w:hyperlink>
      <w:r>
        <w:rPr>
          <w:rFonts w:ascii="Gentium" w:hAnsi="Gentium" w:eastAsia="Gentium" w:cs="Gentium"/>
          <w:sz w:val="24"/>
          <w:szCs w:val="24"/>
        </w:rPr>
        <w:t xml:space="preserve">.</w:t>
      </w:r>
      <w:r>
        <w:rPr>
          <w:rFonts w:ascii="Gentium" w:hAnsi="Gentium" w:eastAsia="Gentium" w:cs="Gentium"/>
        </w:rPr>
        <w:t xml:space="preserve"> </w:t>
      </w:r>
      <w:r>
        <w:rPr>
          <w:rFonts w:ascii="Gentium" w:hAnsi="Gentium" w:cs="Gentium"/>
          <w:iCs/>
          <w:color w:val="3d3d3d"/>
          <w:sz w:val="13"/>
          <w:szCs w:val="13"/>
        </w:rPr>
      </w:r>
      <w:r>
        <w:rPr>
          <w:rFonts w:ascii="Gentium" w:hAnsi="Gentium" w:cs="Gentium"/>
          <w:iCs/>
          <w:color w:val="3d3d3d"/>
          <w:sz w:val="13"/>
          <w:szCs w:val="13"/>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rPr>
          <w:rFonts w:ascii="Gentium" w:hAnsi="Gentium" w:eastAsia="Gentium" w:cs="Gentium"/>
        </w:rPr>
        <w:t xml:space="preserve">Translations of Old Testament Pseudepigrapha based on critical editions</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lang w:val="en-ZA"/>
        </w:rPr>
        <w:t xml:space="preserve">Old Testament Pseudepigrapha concerns those writings originating in Jewish circles in the late Hellenistic period through the later Roman Empire. They are rewritings, reinterpretations, and reappropriations of Old Test</w:t>
      </w:r>
      <w:r>
        <w:rPr>
          <w:rFonts w:ascii="Gentium" w:hAnsi="Gentium" w:eastAsia="Gentium" w:cs="Gentium"/>
          <w:lang w:val="en-ZA"/>
        </w:rPr>
        <w:t xml:space="preserve">ament traditions (Genesis features prominently), but are almost exclusively preserved by Christians in various (often far-flung contexts), for whom many continued to function as scripture and often were edited and embellished with Christian interpolations.</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Charlesworth, James H., ed. </w:t>
      </w:r>
      <w:r>
        <w:rPr>
          <w:rFonts w:ascii="Gentium" w:hAnsi="Gentium" w:eastAsia="Gentium" w:cs="Gentium"/>
          <w:i/>
          <w:iCs/>
          <w:sz w:val="24"/>
          <w:szCs w:val="24"/>
        </w:rPr>
        <w:t xml:space="preserve">The Old Testament Pseudepigrapha. Volume 1: Apocalyptic Literature and Testaments</w:t>
      </w:r>
      <w:r>
        <w:rPr>
          <w:rFonts w:ascii="Gentium" w:hAnsi="Gentium" w:eastAsia="Gentium" w:cs="Gentium"/>
          <w:sz w:val="24"/>
          <w:szCs w:val="24"/>
        </w:rPr>
        <w:t xml:space="preserve">. Peabody, Mass.: Hendrickson Publishers, 2009.</w:t>
      </w:r>
      <w:r>
        <w:rPr>
          <w:rFonts w:ascii="Gentium" w:hAnsi="Gentium" w:cs="Gentium"/>
          <w:sz w:val="24"/>
          <w:szCs w:val="24"/>
        </w:rPr>
      </w:r>
      <w:r>
        <w:rPr>
          <w:rFonts w:ascii="Gentium" w:hAnsi="Gentium" w:cs="Gentium"/>
          <w:sz w:val="24"/>
          <w:szCs w:val="24"/>
        </w:rPr>
      </w:r>
    </w:p>
    <w:p>
      <w:pPr>
        <w:pStyle w:val="937"/>
        <w:pBdr/>
        <w:spacing w:line="240" w:lineRule="auto"/>
        <w:ind w:left="680"/>
        <w:jc w:val="both"/>
        <w:rPr>
          <w:rFonts w:ascii="Gentium" w:hAnsi="Gentium" w:cs="Gentium"/>
          <w:sz w:val="24"/>
          <w:szCs w:val="24"/>
        </w:rPr>
      </w:pPr>
      <w:r>
        <w:rPr>
          <w:rFonts w:ascii="Gentium" w:hAnsi="Gentium" w:eastAsia="Gentium" w:cs="Gentium"/>
          <w:sz w:val="24"/>
          <w:szCs w:val="24"/>
        </w:rPr>
        <w:t xml:space="preserve">The volume contains introductions to and translations of all known apocalypses and testaments of Jewish origins (but preserved in other, mostly Chr</w:t>
      </w:r>
      <w:r>
        <w:rPr>
          <w:rFonts w:ascii="Gentium" w:hAnsi="Gentium" w:eastAsia="Gentium" w:cs="Gentium"/>
          <w:sz w:val="24"/>
          <w:szCs w:val="24"/>
        </w:rPr>
        <w:t xml:space="preserve">istian, contexts). Contains a general introduction to the Pseudepigrapha as corpus; introductions to the two volumes; each text is separately introduced, with translation, supplied with explanatory footnotes; comprehensive indices enable thematic research.</w:t>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Charlesworth, James H., ed. </w:t>
      </w:r>
      <w:r>
        <w:rPr>
          <w:rFonts w:ascii="Gentium" w:hAnsi="Gentium" w:eastAsia="Gentium" w:cs="Gentium"/>
          <w:i/>
          <w:iCs/>
          <w:sz w:val="24"/>
          <w:szCs w:val="24"/>
        </w:rPr>
        <w:t xml:space="preserve">The Old Testament Pseudepigrapha. Volume 2: Expansion of the “Old Testament” and Legends.</w:t>
      </w:r>
      <w:r>
        <w:rPr>
          <w:rFonts w:ascii="Gentium" w:hAnsi="Gentium" w:eastAsia="Gentium" w:cs="Gentium"/>
          <w:sz w:val="24"/>
          <w:szCs w:val="24"/>
        </w:rPr>
        <w:t xml:space="preserve"> Peabody, Mass.: Hendrickson Publishers, 2009.</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The volume contains the large variety of texts relating to Old Testament material and legendary traditions in Seco</w:t>
      </w:r>
      <w:r>
        <w:rPr>
          <w:rFonts w:ascii="Gentium" w:hAnsi="Gentium" w:eastAsia="Gentium" w:cs="Gentium"/>
          <w:sz w:val="24"/>
          <w:szCs w:val="24"/>
        </w:rPr>
        <w:t xml:space="preserve">nd Temple Judaism. Contains a general introduction to the Pseudepigrapha as corpus; introductions to the two volumes; each text is separately introduced, with translation, supplied with explanatory footnotes; comprehensive indices enable thematic research.</w:t>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rPr>
          <w:rFonts w:ascii="Gentium" w:hAnsi="Gentium" w:eastAsia="Gentium" w:cs="Gentium"/>
        </w:rPr>
        <w:t xml:space="preserve">Translations of New Testament Apocrypha based on critical editions</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lang w:val="en-ZA"/>
        </w:rPr>
        <w:t xml:space="preserve">New Testament Apocrypha encompasses the corpus of early Christian literature that in some way aspired to scriptural status (and often functioned as such) but marginalized as spurious or non-canonical in the process of canon formation, as gospels of </w:t>
      </w:r>
      <w:r>
        <w:rPr>
          <w:rFonts w:ascii="Gentium" w:hAnsi="Gentium" w:eastAsia="Gentium" w:cs="Gentium"/>
          <w:lang w:val="en-ZA"/>
        </w:rPr>
        <w:t xml:space="preserve">a variety of styles, pseudo-apostolic writings, or other writings purportedly manifesting revelatory insights. While some are clearly borderline fiction, they have great value as evidence for the development of the many divergent trajectories of Christian </w:t>
      </w:r>
      <w:r>
        <w:rPr>
          <w:rFonts w:ascii="Gentium" w:hAnsi="Gentium" w:eastAsia="Gentium" w:cs="Gentium"/>
          <w:lang w:val="en-ZA"/>
        </w:rPr>
        <w:t xml:space="preserve">discourses and identity projects, as well as for popular religion in the early formative centuries of Christianity. Often they lie at the basis of what later became official doctrines in the mainstream church (e.g., Mariology). Apocryphal literature has pl</w:t>
      </w:r>
      <w:r>
        <w:rPr>
          <w:rFonts w:ascii="Gentium" w:hAnsi="Gentium" w:eastAsia="Gentium" w:cs="Gentium"/>
          <w:lang w:val="en-ZA"/>
        </w:rPr>
        <w:t xml:space="preserve">ayed a significant role in recent studies of Christian origins in drawing attention to the diversity inherent in early Christian discourse formation, and as such, are important for completing the picture of the formation of early Christianity as a historic</w:t>
      </w:r>
      <w:r>
        <w:rPr>
          <w:rFonts w:ascii="Gentium" w:hAnsi="Gentium" w:eastAsia="Gentium" w:cs="Gentium"/>
          <w:lang w:val="en-ZA"/>
        </w:rPr>
        <w:t xml:space="preserve">al phenomenon. Schneemelcher 1991 and 1992 represent the last phase of the various revisions of the authoritative Hennecke-Schneemelcher editions of the New Testament Apocrypha in German (here the English translations are referenced) representing the state</w:t>
      </w:r>
      <w:r>
        <w:rPr>
          <w:rFonts w:ascii="Gentium" w:hAnsi="Gentium" w:eastAsia="Gentium" w:cs="Gentium"/>
          <w:lang w:val="en-ZA"/>
        </w:rPr>
        <w:t xml:space="preserve"> of the discipline up to 1990. The new edition of Markschies et al, eds., continue the project but with completely new reworkings of the translations of the apocrypha in light of the research of the last two decades. For now it is available only in German.</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right="0" w:hanging="709" w:left="709"/>
        <w:jc w:val="both"/>
        <w:rPr>
          <w:rFonts w:ascii="Gentium" w:hAnsi="Gentium" w:cs="Gentium"/>
          <w:sz w:val="24"/>
          <w:szCs w:val="24"/>
        </w:rPr>
      </w:pPr>
      <w:r>
        <w:rPr>
          <w:rFonts w:ascii="Gentium" w:hAnsi="Gentium" w:eastAsia="Gentium" w:cs="Gentium"/>
          <w:sz w:val="24"/>
          <w:szCs w:val="24"/>
        </w:rPr>
        <w:t xml:space="preserve">Schneemelcher, Wilhelm, ed. </w:t>
      </w:r>
      <w:r>
        <w:rPr>
          <w:rFonts w:ascii="Gentium" w:hAnsi="Gentium" w:eastAsia="Gentium" w:cs="Gentium"/>
          <w:i/>
          <w:iCs/>
          <w:sz w:val="24"/>
          <w:szCs w:val="24"/>
        </w:rPr>
        <w:t xml:space="preserve">New Testament Apocrypha. Volume One: Gospels and Related Writings</w:t>
      </w:r>
      <w:r>
        <w:rPr>
          <w:rFonts w:ascii="Gentium" w:hAnsi="Gentium" w:eastAsia="Gentium" w:cs="Gentium"/>
          <w:sz w:val="24"/>
          <w:szCs w:val="24"/>
        </w:rPr>
        <w:t xml:space="preserve">. Louisville, Ky: Westminster John Knox Press, 1991.</w:t>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Schneemelcher, Wilhelm, ed. </w:t>
      </w:r>
      <w:r>
        <w:rPr>
          <w:rFonts w:ascii="Gentium" w:hAnsi="Gentium" w:eastAsia="Gentium" w:cs="Gentium"/>
          <w:i/>
          <w:iCs/>
          <w:sz w:val="24"/>
          <w:szCs w:val="24"/>
        </w:rPr>
        <w:t xml:space="preserve">New Testament Apocrypha: Writings Relating to the Apostles, Apocalypses and Related Subjects</w:t>
      </w:r>
      <w:r>
        <w:rPr>
          <w:rFonts w:ascii="Gentium" w:hAnsi="Gentium" w:eastAsia="Gentium" w:cs="Gentium"/>
          <w:sz w:val="24"/>
          <w:szCs w:val="24"/>
        </w:rPr>
        <w:t xml:space="preserve">. Louisville, Ky: Westminster John Knox Press, 1992.</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Since its first edition in German remained a standard source for translations based on critical text editions, with introductions and some thematic essays on early Christian apocryphal literature.</w:t>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eastAsia="Gentium" w:cs="Gentium"/>
          <w:sz w:val="24"/>
          <w:szCs w:val="24"/>
          <w:lang w:val="de-DE"/>
        </w:rPr>
        <w:t xml:space="preserve">Markschiess, Christoph, Jens Schröter, and Andreas Heiser, eds. </w:t>
      </w:r>
      <w:r>
        <w:rPr>
          <w:rFonts w:ascii="Gentium" w:hAnsi="Gentium" w:eastAsia="Gentium" w:cs="Gentium"/>
          <w:i/>
          <w:iCs/>
          <w:sz w:val="24"/>
          <w:szCs w:val="24"/>
          <w:lang w:val="de-DE"/>
        </w:rPr>
        <w:t xml:space="preserve">Antike Christliche Apokryphen in deutscher Übersetzung. I. Band in Zwei Teilbänden: Evangelien und Verwandtes. 7. Auflage der von Edgar Hennecke begründeten und von Wilhelm Schneemelcher fortgeführten Sammlung der Neutestamentlichen Apokryphen</w:t>
      </w:r>
      <w:r>
        <w:rPr>
          <w:rFonts w:ascii="Gentium" w:hAnsi="Gentium" w:eastAsia="Gentium" w:cs="Gentium"/>
          <w:sz w:val="24"/>
          <w:szCs w:val="24"/>
          <w:lang w:val="de-DE"/>
        </w:rPr>
        <w:t xml:space="preserve">. </w:t>
      </w:r>
      <w:r>
        <w:rPr>
          <w:rFonts w:ascii="Gentium" w:hAnsi="Gentium" w:eastAsia="Gentium" w:cs="Gentium"/>
          <w:sz w:val="24"/>
          <w:szCs w:val="24"/>
          <w:lang w:val="en-ZA"/>
        </w:rPr>
        <w:t xml:space="preserve">Tübingen: Mohr Siebeck, 2012.</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lang w:val="en-ZA"/>
        </w:rPr>
        <w:t xml:space="preserve">Continues on from Hennecke-</w:t>
      </w:r>
      <w:r>
        <w:rPr>
          <w:rFonts w:ascii="Gentium" w:hAnsi="Gentium" w:eastAsia="Gentium" w:cs="Gentium"/>
          <w:sz w:val="24"/>
          <w:szCs w:val="24"/>
          <w:lang w:val="en-ZA"/>
        </w:rPr>
        <w:t xml:space="preserve">Schneemelcher but is a completely reworked edition of the standard German edition and translation of the New Testament Apocrypha. The first volume in two parts contains newly introduced and translated version of all apocryphal gospels and related material.</w:t>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41"/>
        <w:pBdr/>
        <w:spacing/>
        <w:ind/>
        <w:rPr>
          <w:rFonts w:ascii="Gentium" w:hAnsi="Gentium" w:cs="Gentium"/>
        </w:rPr>
      </w:pPr>
      <w:r>
        <w:rPr>
          <w:rFonts w:ascii="Gentium" w:hAnsi="Gentium" w:eastAsia="Gentium" w:cs="Gentium"/>
        </w:rPr>
        <w:t xml:space="preserve">Gnostic and Manichaean literature: translations and critical editions</w:t>
      </w:r>
      <w:r>
        <w:rPr>
          <w:rFonts w:ascii="Gentium" w:hAnsi="Gentium" w:cs="Gentium"/>
        </w:rPr>
      </w:r>
      <w:r>
        <w:rPr>
          <w:rFonts w:ascii="Gentium" w:hAnsi="Gentium" w:cs="Gentium"/>
        </w:rPr>
      </w:r>
    </w:p>
    <w:p>
      <w:pPr>
        <w:pStyle w:val="937"/>
        <w:pBdr/>
        <w:spacing w:after="0" w:before="0" w:line="240" w:lineRule="auto"/>
        <w:ind/>
        <w:jc w:val="both"/>
        <w:rPr>
          <w:rFonts w:ascii="Gentium" w:hAnsi="Gentium" w:cs="Gentium"/>
          <w:sz w:val="24"/>
          <w:szCs w:val="24"/>
        </w:rPr>
      </w:pPr>
      <w:r>
        <w:rPr>
          <w:rFonts w:ascii="Gentium" w:hAnsi="Gentium" w:eastAsia="Gentium" w:cs="Gentium"/>
          <w:sz w:val="24"/>
          <w:szCs w:val="24"/>
          <w:lang w:val="en-ZA"/>
        </w:rPr>
        <w:t xml:space="preserve">Gnostic literature, especially, received much attention in recent scholarship on alternative Christianities in the formative centuries of the Christian era as evidence of Christi</w:t>
      </w:r>
      <w:r>
        <w:rPr>
          <w:rFonts w:ascii="Gentium" w:hAnsi="Gentium" w:eastAsia="Gentium" w:cs="Gentium"/>
          <w:sz w:val="24"/>
          <w:szCs w:val="24"/>
          <w:lang w:val="en-ZA"/>
        </w:rPr>
        <w:t xml:space="preserve">an discourse in opposition to or alternative to emerging dominant discourses of authority in early Christianity. These resources should be used in conjunction with the texts on Gnosticism and Manichaeism under the rubric ‘Diversity in Early Christianity.’ </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eastAsia="Gentium" w:cs="Gentium"/>
          <w:sz w:val="24"/>
          <w:szCs w:val="24"/>
          <w:lang w:val="en-ZA"/>
        </w:rPr>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eastAsia="Gentium" w:cs="Gentium"/>
          <w:sz w:val="24"/>
          <w:szCs w:val="24"/>
          <w:lang w:val="en-ZA"/>
        </w:rPr>
        <w:t xml:space="preserve">Robinson is an edition of the original texts themselves in facsimile, while Robinson, ed., is a well-known authoritative translation of the so-called Coptic Gnostic library. </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eastAsia="Gentium" w:cs="Gentium"/>
          <w:sz w:val="24"/>
          <w:szCs w:val="24"/>
          <w:lang w:val="en-ZA"/>
        </w:rPr>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eastAsia="Gentium" w:cs="Gentium"/>
          <w:sz w:val="24"/>
          <w:szCs w:val="24"/>
          <w:lang w:val="en-ZA"/>
        </w:rPr>
        <w:t xml:space="preserve">The series </w:t>
      </w:r>
      <w:r>
        <w:rPr>
          <w:rFonts w:ascii="Gentium" w:hAnsi="Gentium" w:eastAsia="Gentium" w:cs="Gentium"/>
          <w:sz w:val="24"/>
          <w:szCs w:val="24"/>
          <w:lang w:val="en-ZA" w:eastAsia="en-ZA"/>
        </w:rPr>
        <w:t xml:space="preserve">Nag Hammadi and Manichaean Studies contains critical editions of both Gnostic and Manichaean texts.</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eastAsia="Gentium" w:cs="Gentium"/>
          <w:sz w:val="24"/>
          <w:szCs w:val="24"/>
          <w:lang w:val="en-ZA" w:eastAsia="en-ZA"/>
        </w:rPr>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eastAsia="Gentium" w:cs="Gentium"/>
          <w:sz w:val="24"/>
          <w:szCs w:val="24"/>
          <w:lang w:val="en-ZA" w:eastAsia="en-ZA"/>
        </w:rPr>
        <w:t xml:space="preserve">the series </w:t>
      </w:r>
      <w:r>
        <w:rPr>
          <w:rFonts w:ascii="Gentium" w:hAnsi="Gentium" w:eastAsia="Gentium" w:cs="Gentium"/>
          <w:sz w:val="24"/>
          <w:szCs w:val="24"/>
        </w:rPr>
        <w:t xml:space="preserve">Corpus Fontium Manichaeorum spans a very wide range of Manichaean texts acr</w:t>
      </w:r>
      <w:r>
        <w:rPr>
          <w:rFonts w:ascii="Gentium" w:hAnsi="Gentium" w:eastAsia="Gentium" w:cs="Gentium"/>
          <w:sz w:val="24"/>
          <w:szCs w:val="24"/>
        </w:rPr>
        <w:t xml:space="preserve">oss many language traditions, showing the very wide dissemination of this early ‘world religion’ that continued to exert its influence deep into Europe through the Middle Ages into the early modern era, as well as influencing Buddhism in deep Central Asia.</w:t>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eastAsia="Gentium" w:cs="Gentium"/>
          <w:sz w:val="24"/>
          <w:szCs w:val="24"/>
        </w:rPr>
        <w:t xml:space="preserve">Robinson, James M. “The Coptic Gnostic Library Online — A Complete Edition of the Nag Hammadi Codices,” n.d. </w:t>
      </w:r>
      <w:hyperlink r:id="rId23" w:tooltip="http://referenceworks.brillonline.com/browse/coptic-gnostic-library" w:history="1">
        <w:r>
          <w:rPr>
            <w:rStyle w:val="976"/>
            <w:rFonts w:ascii="Gentium" w:hAnsi="Gentium" w:eastAsia="Gentium" w:cs="Gentium"/>
            <w:sz w:val="24"/>
            <w:szCs w:val="24"/>
          </w:rPr>
          <w:t xml:space="preserve">http://referenceworks.brillonline.com/browse/coptic-gnostic-library</w:t>
        </w:r>
      </w:hyperlink>
      <w:r>
        <w:rPr>
          <w:rFonts w:ascii="Gentium" w:hAnsi="Gentium" w:eastAsia="Gentium" w:cs="Gentium"/>
          <w:sz w:val="24"/>
          <w:szCs w:val="24"/>
        </w:rPr>
        <w:t xml:space="preserve">.</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The new online version of the complete Nag Hammadi collection, previously published in hard cover. Contains the Coptic texts, plus some texts from other Christian writers; with scholarly introductions and commentaries.</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Robinson, James M., ed. </w:t>
      </w:r>
      <w:r>
        <w:rPr>
          <w:rFonts w:ascii="Gentium" w:hAnsi="Gentium" w:eastAsia="Gentium" w:cs="Gentium"/>
          <w:i/>
          <w:iCs/>
          <w:sz w:val="24"/>
          <w:szCs w:val="24"/>
        </w:rPr>
        <w:t xml:space="preserve">The Nag Hammadi Library in English</w:t>
      </w:r>
      <w:r>
        <w:rPr>
          <w:rFonts w:ascii="Gentium" w:hAnsi="Gentium" w:eastAsia="Gentium" w:cs="Gentium"/>
          <w:sz w:val="24"/>
          <w:szCs w:val="24"/>
        </w:rPr>
        <w:t xml:space="preserve">. 4</w:t>
      </w:r>
      <w:r>
        <w:rPr>
          <w:rFonts w:ascii="Gentium" w:hAnsi="Gentium" w:eastAsia="Gentium" w:cs="Gentium"/>
          <w:sz w:val="24"/>
          <w:szCs w:val="24"/>
          <w:vertAlign w:val="superscript"/>
        </w:rPr>
        <w:t xml:space="preserve">th</w:t>
      </w:r>
      <w:r>
        <w:rPr>
          <w:rFonts w:ascii="Gentium" w:hAnsi="Gentium" w:eastAsia="Gentium" w:cs="Gentium"/>
          <w:sz w:val="24"/>
          <w:szCs w:val="24"/>
        </w:rPr>
        <w:t xml:space="preserve"> rev. ed. with an Afterword by Richard Smith</w:t>
      </w:r>
      <w:r>
        <w:rPr>
          <w:rFonts w:ascii="Gentium" w:hAnsi="Gentium" w:eastAsia="Gentium" w:cs="Gentium"/>
          <w:sz w:val="24"/>
          <w:szCs w:val="24"/>
          <w:lang w:val="en-ZA"/>
        </w:rPr>
        <w:t xml:space="preserve">. Leiden; Boston, Mass.: Brill, 2002.</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lang w:val="en-ZA"/>
        </w:rPr>
        <w:t xml:space="preserve">General introduction to the corpus. Authoritative translation into English of the whole Nag Hammadi corpus of Coptic Gnostic texts, with a closing Afterword on the relevance of the literature and Gnosticism for contemporary literature </w:t>
      </w:r>
      <w:r>
        <w:rPr>
          <w:rFonts w:ascii="Gentium" w:hAnsi="Gentium" w:eastAsia="Gentium" w:cs="Gentium"/>
          <w:sz w:val="24"/>
          <w:szCs w:val="24"/>
        </w:rPr>
        <w:t xml:space="preserve">from Voltaire and Blake to Jack Kerouac and science fiction writer Philip K. Dick.</w:t>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37"/>
        <w:pBdr/>
        <w:spacing w:after="0" w:before="0" w:line="240" w:lineRule="auto"/>
        <w:ind w:hanging="720" w:left="720"/>
        <w:jc w:val="both"/>
        <w:rPr>
          <w:rFonts w:ascii="Gentium" w:hAnsi="Gentium" w:cs="Gentium"/>
          <w:sz w:val="24"/>
          <w:szCs w:val="24"/>
        </w:rPr>
      </w:pPr>
      <w:r>
        <w:rPr>
          <w:rFonts w:ascii="Gentium" w:hAnsi="Gentium" w:eastAsia="Gentium" w:cs="Gentium"/>
          <w:sz w:val="24"/>
          <w:szCs w:val="24"/>
          <w:lang w:val="en-ZA" w:eastAsia="en-ZA"/>
        </w:rPr>
        <w:t xml:space="preserve">Nag Hammadi and Manichaean Studies, series editors Johannes van Oort and Einar Thomassen, multiple volumes. Leiden; Boston, Mass.: Brill, 1993-- [includes the previous Nag Hammadi Studies, multiple volumes. Leiden; Boston, Mass.: Brill, 1971—1995] </w:t>
      </w:r>
      <w:r>
        <w:rPr>
          <w:rFonts w:ascii="Gentium" w:hAnsi="Gentium" w:cs="Gentium"/>
          <w:sz w:val="24"/>
          <w:szCs w:val="24"/>
        </w:rPr>
      </w:r>
      <w:r>
        <w:rPr>
          <w:rFonts w:ascii="Gentium" w:hAnsi="Gentium" w:cs="Gentium"/>
          <w:sz w:val="24"/>
          <w:szCs w:val="24"/>
        </w:rPr>
      </w:r>
    </w:p>
    <w:p>
      <w:pPr>
        <w:pStyle w:val="937"/>
        <w:pBdr/>
        <w:spacing w:after="0" w:before="0" w:line="240" w:lineRule="auto"/>
        <w:ind w:left="680"/>
        <w:jc w:val="both"/>
        <w:rPr>
          <w:rFonts w:ascii="Gentium" w:hAnsi="Gentium" w:cs="Gentium"/>
          <w:sz w:val="24"/>
          <w:szCs w:val="24"/>
        </w:rPr>
      </w:pPr>
      <w:r>
        <w:rPr>
          <w:rFonts w:ascii="Gentium" w:hAnsi="Gentium" w:eastAsia="Gentium" w:cs="Gentium"/>
          <w:sz w:val="24"/>
          <w:szCs w:val="24"/>
          <w:lang w:val="en-ZA" w:eastAsia="en-ZA"/>
        </w:rPr>
        <w:t xml:space="preserve">Among scholarly </w:t>
      </w:r>
      <w:r>
        <w:rPr>
          <w:rFonts w:ascii="Gentium" w:hAnsi="Gentium" w:eastAsia="Gentium" w:cs="Gentium"/>
          <w:sz w:val="24"/>
          <w:szCs w:val="24"/>
          <w:lang w:val="en-ZA" w:eastAsia="en-ZA"/>
        </w:rPr>
        <w:t xml:space="preserve">studies on aspects of Gnostic and Manichaean literature, the series also features some critical editions and translations of Gnostic and Manichaean texts. The original facsimile editions of the Coptic Gnostic codices of Nag Hammadi appeared in this series.</w:t>
      </w:r>
      <w:r>
        <w:rPr>
          <w:rFonts w:ascii="Gentium" w:hAnsi="Gentium" w:cs="Gentium"/>
          <w:sz w:val="24"/>
          <w:szCs w:val="24"/>
        </w:rPr>
      </w:r>
      <w:r>
        <w:rPr>
          <w:rFonts w:ascii="Gentium" w:hAnsi="Gentium" w:cs="Gentium"/>
          <w:sz w:val="24"/>
          <w:szCs w:val="24"/>
        </w:rPr>
      </w:r>
    </w:p>
    <w:p>
      <w:pPr>
        <w:pStyle w:val="937"/>
        <w:pBdr/>
        <w:spacing w:after="0" w:before="0" w:line="240" w:lineRule="auto"/>
        <w:ind w:left="680"/>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37"/>
        <w:pBdr/>
        <w:spacing w:after="0" w:before="0" w:line="240" w:lineRule="auto"/>
        <w:ind w:hanging="720" w:left="720"/>
        <w:jc w:val="both"/>
        <w:rPr>
          <w:rFonts w:ascii="Gentium" w:hAnsi="Gentium" w:cs="Gentium"/>
          <w:sz w:val="24"/>
          <w:szCs w:val="24"/>
        </w:rPr>
      </w:pPr>
      <w:r>
        <w:rPr>
          <w:rFonts w:ascii="Gentium" w:hAnsi="Gentium" w:eastAsia="Gentium" w:cs="Gentium"/>
          <w:sz w:val="24"/>
          <w:szCs w:val="24"/>
        </w:rPr>
        <w:t xml:space="preserve">Corpus Fontium Manichaeorum (CFM). Series editors: M. Krause, S.N.C. Lieu, J. van Oort, A. van Tongerloo. Multiple volumes. Turnhout: Brepols, 1979--.</w:t>
      </w:r>
      <w:r>
        <w:rPr>
          <w:rFonts w:ascii="Gentium" w:hAnsi="Gentium" w:cs="Gentium"/>
          <w:sz w:val="24"/>
          <w:szCs w:val="24"/>
        </w:rPr>
      </w:r>
      <w:r>
        <w:rPr>
          <w:rFonts w:ascii="Gentium" w:hAnsi="Gentium" w:cs="Gentium"/>
          <w:sz w:val="24"/>
          <w:szCs w:val="24"/>
        </w:rPr>
      </w:r>
    </w:p>
    <w:p>
      <w:pPr>
        <w:pStyle w:val="937"/>
        <w:pBdr/>
        <w:spacing w:after="0" w:before="0" w:line="240" w:lineRule="auto"/>
        <w:ind w:left="680"/>
        <w:jc w:val="both"/>
        <w:rPr>
          <w:rFonts w:ascii="Gentium" w:hAnsi="Gentium" w:cs="Gentium"/>
        </w:rPr>
      </w:pPr>
      <w:r>
        <w:rPr>
          <w:rFonts w:ascii="Gentium" w:hAnsi="Gentium" w:eastAsia="Gentium" w:cs="Gentium"/>
          <w:sz w:val="24"/>
          <w:szCs w:val="24"/>
        </w:rPr>
        <w:t xml:space="preserve">Critical editions of Manichaean texts in various source language subseries (Coptic, Latin, Syriac, Turkish), dictionaries, and bibliographies</w:t>
      </w:r>
      <w:r>
        <w:rPr>
          <w:rFonts w:ascii="Gentium" w:hAnsi="Gentium" w:eastAsia="Gentium" w:cs="Gentium"/>
        </w:rPr>
        <w:t xml:space="preserve">. </w:t>
      </w:r>
      <w:r>
        <w:rPr>
          <w:rFonts w:ascii="Gentium" w:hAnsi="Gentium" w:cs="Gentium"/>
        </w:rPr>
      </w:r>
      <w:r>
        <w:rPr>
          <w:rFonts w:ascii="Gentium" w:hAnsi="Gentium" w:cs="Gentium"/>
        </w:rPr>
      </w:r>
    </w:p>
    <w:p>
      <w:pPr>
        <w:pStyle w:val="1016"/>
        <w:pBdr/>
        <w:spacing w:after="0" w:afterAutospacing="0" w:before="0" w:beforeAutospacing="0"/>
        <w:ind w:right="0" w:firstLine="0" w:left="680"/>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rPr>
          <w:rFonts w:ascii="Gentium" w:hAnsi="Gentium" w:eastAsia="Gentium" w:cs="Gentium"/>
        </w:rPr>
        <w:t xml:space="preserve">Christian writings in critical editions</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lang w:val="en-ZA"/>
        </w:rPr>
        <w:t xml:space="preserve">Here are listed those collections of critical editions of primary texts written by ecclesiastical writers over a very long span of Christ</w:t>
      </w:r>
      <w:r>
        <w:rPr>
          <w:rFonts w:ascii="Gentium" w:hAnsi="Gentium" w:eastAsia="Gentium" w:cs="Gentium"/>
          <w:lang w:val="en-ZA"/>
        </w:rPr>
        <w:t xml:space="preserve">ian history and over a wide range of geographical localities. The Loeb Classical Library contains texts in Latin and Greek with English translations, some of the older volumes being outdated but a substantial number of new text-plus-translations have appea</w:t>
      </w:r>
      <w:r>
        <w:rPr>
          <w:rFonts w:ascii="Gentium" w:hAnsi="Gentium" w:eastAsia="Gentium" w:cs="Gentium"/>
          <w:lang w:val="en-ZA"/>
        </w:rPr>
        <w:t xml:space="preserve">red recently. Source Chrétiennes is a French series with critical text editions, claiming to eventually encompass all Christian literature from the early centuries, the critical text in the original language with introduction and commentary in French. The </w:t>
      </w:r>
      <w:hyperlink r:id="rId24" w:tooltip="http://www.peeters-leuven.be/search_serie_book.asp?nr=94" w:history="1">
        <w:r>
          <w:rPr>
            <w:rStyle w:val="976"/>
            <w:rFonts w:ascii="Gentium" w:hAnsi="Gentium" w:eastAsia="Gentium" w:cs="Gentium"/>
            <w:color w:val="000000"/>
            <w:u w:val="none"/>
          </w:rPr>
          <w:t xml:space="preserve">Corpus Scriptorum Christianorum Orientalium</w:t>
        </w:r>
      </w:hyperlink>
      <w:r>
        <w:rPr>
          <w:rStyle w:val="976"/>
          <w:rFonts w:ascii="Gentium" w:hAnsi="Gentium" w:eastAsia="Gentium" w:cs="Gentium"/>
          <w:color w:val="000000"/>
          <w:u w:val="none"/>
        </w:rPr>
        <w:t xml:space="preserve"> series focuses on the Christian writers from the eastern provinces of the Roman Empire and further east to Persia. The series </w:t>
      </w:r>
      <w:r>
        <w:rPr>
          <w:rFonts w:ascii="Gentium" w:hAnsi="Gentium" w:eastAsia="Gentium" w:cs="Gentium"/>
          <w:lang w:val="en-ZA"/>
        </w:rPr>
        <w:t xml:space="preserve">Corpus Christianorum encompasses a wide range of writings, mostly Greek and Latin Christian writings (but not only) from the early centuries into the Middle Ages with some lexicographical r</w:t>
      </w:r>
      <w:r>
        <w:rPr>
          <w:rFonts w:ascii="Gentium" w:hAnsi="Gentium" w:eastAsia="Gentium" w:cs="Gentium"/>
          <w:lang w:val="en-ZA"/>
        </w:rPr>
        <w:t xml:space="preserve">esources included. Die griechischen christlichen Schriftsteller der ersten Jahrhunderte is a series containing all the early Christian writings in Greek from the first through fourth centuries, the critical text in original language but introduction and co</w:t>
      </w:r>
      <w:r>
        <w:rPr>
          <w:rFonts w:ascii="Gentium" w:hAnsi="Gentium" w:eastAsia="Gentium" w:cs="Gentium"/>
          <w:lang w:val="en-ZA"/>
        </w:rPr>
        <w:t xml:space="preserve">mmentary in German. The series Fontes Christiani (series 1, 2, and 4 published by Herder; series 3 by Brepols) contain texts from the early centuries through the Middle Ages with bilingual editions (Greek or Latin if that is the original language; and Germ</w:t>
      </w:r>
      <w:r>
        <w:rPr>
          <w:rFonts w:ascii="Gentium" w:hAnsi="Gentium" w:eastAsia="Gentium" w:cs="Gentium"/>
          <w:lang w:val="en-ZA"/>
        </w:rPr>
        <w:t xml:space="preserve">an introduction and commentary, or German translation of any other original language). Fontes Christiani is not a comprehensive text series, but the early Christian literature it does comprise are valuable editions with good introductions and translations.</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The Loeb Classical Library, general series editor: Jeffrey Henderson, multiple volumes. Cambridge, Mass.: Harvard University Press, 1912--. </w:t>
      </w:r>
      <w:r>
        <w:rPr>
          <w:rFonts w:ascii="Gentium" w:hAnsi="Gentium" w:cs="Gentium"/>
        </w:rPr>
      </w:r>
      <w:r>
        <w:rPr>
          <w:rFonts w:ascii="Gentium" w:hAnsi="Gentium" w:cs="Gentium"/>
        </w:rPr>
      </w:r>
    </w:p>
    <w:p>
      <w:pPr>
        <w:pStyle w:val="1016"/>
        <w:pBdr/>
        <w:tabs>
          <w:tab w:val="clear" w:leader="none" w:pos="432"/>
          <w:tab w:val="left" w:leader="none" w:pos="709"/>
        </w:tabs>
        <w:spacing w:after="0" w:afterAutospacing="0" w:before="0" w:beforeAutospacing="0"/>
        <w:ind w:right="0" w:firstLine="0" w:left="709"/>
        <w:jc w:val="both"/>
        <w:rPr>
          <w:rFonts w:ascii="Gentium" w:hAnsi="Gentium" w:cs="Gentium"/>
        </w:rPr>
      </w:pPr>
      <w:r>
        <w:rPr>
          <w:rFonts w:ascii="Gentium" w:hAnsi="Gentium" w:eastAsia="Gentium" w:cs="Gentium"/>
        </w:rPr>
        <w:t xml:space="preserve">The series contain</w:t>
      </w:r>
      <w:r>
        <w:rPr>
          <w:rFonts w:ascii="Gentium" w:hAnsi="Gentium" w:eastAsia="Gentium" w:cs="Gentium"/>
        </w:rPr>
        <w:t xml:space="preserve">s works in Latin and Greek, early Christian writers among the texts included. Individual volumes have critical Greek or Latin texts, introductions and English translations. Still one of the most widely used and cited sources in early Christian literature. </w:t>
      </w:r>
      <w:r>
        <w:rPr>
          <w:rFonts w:ascii="Gentium" w:hAnsi="Gentium" w:eastAsia="Gentium" w:cs="Gentium"/>
          <w:lang w:val="fr-FR"/>
        </w:rPr>
        <w:t xml:space="preserve">Now available online at </w:t>
      </w:r>
      <w:hyperlink r:id="rId25" w:tooltip="http://www.loebclassics.com/" w:history="1">
        <w:r>
          <w:rPr>
            <w:rStyle w:val="976"/>
            <w:rFonts w:ascii="Gentium" w:hAnsi="Gentium" w:eastAsia="Gentium" w:cs="Gentium"/>
            <w:lang w:val="fr-FR"/>
          </w:rPr>
          <w:t xml:space="preserve">http://www.loebclassics.com/</w:t>
        </w:r>
      </w:hyperlink>
      <w:r>
        <w:rPr>
          <w:rFonts w:ascii="Gentium" w:hAnsi="Gentium" w:eastAsia="Gentium" w:cs="Gentium"/>
          <w:lang w:val="fr-FR"/>
        </w:rPr>
        <w:t xml:space="preserve"> </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lang w:val="fr-FR"/>
        </w:rPr>
        <w:t xml:space="preserve">Sources Chrétiennes,</w:t>
      </w:r>
      <w:r>
        <w:rPr>
          <w:rFonts w:ascii="Gentium" w:hAnsi="Gentium" w:eastAsia="Gentium" w:cs="Gentium"/>
          <w:color w:val="000000"/>
          <w:shd w:val="clear" w:color="auto" w:fill="ffffff"/>
          <w:lang w:val="fr-FR"/>
        </w:rPr>
        <w:t xml:space="preserve"> edited by the </w:t>
      </w:r>
      <w:r>
        <w:rPr>
          <w:rFonts w:ascii="Gentium" w:hAnsi="Gentium" w:eastAsia="Gentium" w:cs="Gentium"/>
          <w:lang w:val="fr-FR"/>
        </w:rPr>
        <w:t xml:space="preserve">Institut des Sources Chrétiennes. </w:t>
      </w:r>
      <w:r>
        <w:rPr>
          <w:rFonts w:ascii="Gentium" w:hAnsi="Gentium" w:eastAsia="Gentium" w:cs="Gentium"/>
          <w:color w:val="000000"/>
          <w:shd w:val="clear" w:color="auto" w:fill="ffffff"/>
          <w:lang w:val="fr-FR"/>
        </w:rPr>
        <w:t xml:space="preserve">Multiple volumes. Les Éditions du Cerf</w:t>
      </w:r>
      <w:r>
        <w:rPr>
          <w:rStyle w:val="983"/>
          <w:rFonts w:ascii="Gentium" w:hAnsi="Gentium" w:eastAsia="Gentium" w:cs="Gentium"/>
          <w:color w:val="000000"/>
          <w:shd w:val="clear" w:color="auto" w:fill="ffffff"/>
          <w:lang w:val="fr-FR"/>
        </w:rPr>
        <w:t xml:space="preserve">, Paris, 1941--.</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color w:val="000000"/>
          <w:shd w:val="clear" w:color="auto" w:fill="c9d7f1"/>
        </w:rPr>
      </w:pPr>
      <w:r>
        <w:rPr>
          <w:rFonts w:ascii="Gentium" w:hAnsi="Gentium" w:eastAsia="Gentium" w:cs="Gentium"/>
          <w:color w:val="000000"/>
          <w:shd w:val="clear" w:color="auto" w:fill="fff5cd"/>
        </w:rPr>
        <w:t xml:space="preserve">A very comprehensive collection of critical text editions (“the largest library in the world”) of patristic literature, with introductions, commentary, and translations. Aiming to encompass the complete works of the Fathers of the Church.</w:t>
      </w:r>
      <w:r>
        <w:rPr>
          <w:rFonts w:ascii="Gentium" w:hAnsi="Gentium" w:cs="Gentium"/>
          <w:color w:val="000000"/>
          <w:shd w:val="clear" w:color="auto" w:fill="c9d7f1"/>
        </w:rPr>
      </w:r>
      <w:r>
        <w:rPr>
          <w:rFonts w:ascii="Gentium" w:hAnsi="Gentium" w:cs="Gentium"/>
          <w:color w:val="000000"/>
          <w:shd w:val="clear" w:color="auto" w:fill="c9d7f1"/>
        </w:rPr>
      </w:r>
    </w:p>
    <w:p>
      <w:pPr>
        <w:pStyle w:val="1016"/>
        <w:pBdr/>
        <w:spacing w:after="0" w:afterAutospacing="0" w:before="0" w:beforeAutospacing="0"/>
        <w:ind w:right="0" w:hanging="709" w:left="709"/>
        <w:jc w:val="both"/>
        <w:rPr>
          <w:rFonts w:ascii="Gentium" w:hAnsi="Gentium" w:cs="Gentium"/>
          <w:color w:val="000000"/>
          <w:shd w:val="clear" w:color="auto" w:fill="c9d7f1"/>
        </w:rPr>
      </w:pPr>
      <w:r>
        <w:rPr>
          <w:rFonts w:ascii="Gentium" w:hAnsi="Gentium" w:cs="Gentium"/>
          <w:color w:val="000000"/>
          <w:shd w:val="clear" w:color="auto" w:fill="c9d7f1"/>
        </w:rPr>
      </w:r>
      <w:r>
        <w:rPr>
          <w:rFonts w:ascii="Gentium" w:hAnsi="Gentium" w:cs="Gentium"/>
          <w:color w:val="000000"/>
          <w:shd w:val="clear" w:color="auto" w:fill="c9d7f1"/>
        </w:rPr>
      </w:r>
      <w:r>
        <w:rPr>
          <w:rFonts w:ascii="Gentium" w:hAnsi="Gentium" w:cs="Gentium"/>
          <w:color w:val="000000"/>
          <w:shd w:val="clear" w:color="auto" w:fill="c9d7f1"/>
        </w:rPr>
      </w:r>
    </w:p>
    <w:p>
      <w:pPr>
        <w:pStyle w:val="937"/>
        <w:pBdr/>
        <w:spacing w:after="0" w:before="0" w:line="240" w:lineRule="auto"/>
        <w:ind w:hanging="709" w:left="709"/>
        <w:jc w:val="both"/>
        <w:rPr>
          <w:rFonts w:ascii="Gentium" w:hAnsi="Gentium" w:cs="Gentium"/>
          <w:sz w:val="24"/>
          <w:szCs w:val="24"/>
        </w:rPr>
      </w:pPr>
      <w:r/>
      <w:hyperlink r:id="rId26" w:tooltip="http://www.peeters-leuven.be/search_serie_book.asp?nr=94" w:history="1">
        <w:r>
          <w:rPr>
            <w:rStyle w:val="976"/>
            <w:rFonts w:ascii="Gentium" w:hAnsi="Gentium" w:eastAsia="Gentium" w:cs="Gentium"/>
            <w:color w:val="000000"/>
            <w:sz w:val="24"/>
            <w:szCs w:val="24"/>
            <w:u w:val="none"/>
            <w:lang w:val="fr-FR"/>
          </w:rPr>
          <w:t xml:space="preserve">Corpus Scriptorum Christianorum Orientalium</w:t>
        </w:r>
      </w:hyperlink>
      <w:r>
        <w:rPr>
          <w:rFonts w:ascii="Gentium" w:hAnsi="Gentium" w:eastAsia="Gentium" w:cs="Gentium"/>
          <w:sz w:val="24"/>
          <w:szCs w:val="24"/>
          <w:lang w:val="fr-FR"/>
        </w:rPr>
        <w:t xml:space="preserve">, multiple volumes. Leuven: Peeters, 1950--.</w:t>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right="0" w:firstLine="0" w:left="680"/>
        <w:jc w:val="both"/>
        <w:rPr>
          <w:rFonts w:ascii="Gentium" w:hAnsi="Gentium" w:cs="Gentium"/>
        </w:rPr>
      </w:pPr>
      <w:r>
        <w:rPr>
          <w:rFonts w:ascii="Gentium" w:hAnsi="Gentium" w:eastAsia="Gentium" w:cs="Gentium"/>
        </w:rPr>
        <w:t xml:space="preserve">A very extensive multilingual collection of </w:t>
      </w:r>
      <w:hyperlink r:id="rId27" w:tooltip="Eastern Christianity" w:history="1">
        <w:r>
          <w:rPr>
            <w:rStyle w:val="976"/>
            <w:rFonts w:ascii="Gentium" w:hAnsi="Gentium" w:eastAsia="Gentium" w:cs="Gentium"/>
            <w:color w:val="auto"/>
            <w:u w:val="none"/>
          </w:rPr>
          <w:t xml:space="preserve">Eastern Christian</w:t>
        </w:r>
      </w:hyperlink>
      <w:r>
        <w:rPr>
          <w:rFonts w:ascii="Gentium" w:hAnsi="Gentium" w:eastAsia="Gentium" w:cs="Gentium"/>
        </w:rPr>
        <w:t xml:space="preserve"> texts with subseries on Ethiopian, Arabic, Armenian, Coptic, Iberian, Syrian authors and texts.</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lang w:val="en-ZA"/>
        </w:rPr>
        <w:t xml:space="preserve">Corpus Christianorum, multiple volumes and subseries. Turnhout: Brepols, 1972--. </w:t>
      </w:r>
      <w:r>
        <w:rPr>
          <w:rFonts w:ascii="Gentium" w:hAnsi="Gentium" w:cs="Gentium"/>
        </w:rPr>
      </w:r>
      <w:r>
        <w:rPr>
          <w:rFonts w:ascii="Gentium" w:hAnsi="Gentium" w:cs="Gentium"/>
        </w:rPr>
      </w:r>
    </w:p>
    <w:p>
      <w:pPr>
        <w:pStyle w:val="1016"/>
        <w:pBdr/>
        <w:spacing w:after="0" w:afterAutospacing="0" w:before="0" w:beforeAutospacing="0"/>
        <w:ind w:right="0" w:firstLine="0" w:left="680"/>
        <w:jc w:val="both"/>
        <w:rPr>
          <w:rFonts w:ascii="Gentium" w:hAnsi="Gentium" w:cs="Gentium"/>
        </w:rPr>
      </w:pPr>
      <w:r>
        <w:rPr>
          <w:rFonts w:ascii="Gentium" w:hAnsi="Gentium" w:eastAsia="Gentium" w:cs="Gentium"/>
          <w:lang w:val="en-ZA"/>
        </w:rPr>
        <w:t xml:space="preserve">A truly massive project with </w:t>
      </w:r>
      <w:r>
        <w:rPr>
          <w:rFonts w:ascii="Gentium" w:hAnsi="Gentium" w:eastAsia="Gentium" w:cs="Gentium"/>
        </w:rPr>
        <w:t xml:space="preserve">critical editions of texts by Christian authors from Late Antiquity till the end of the Middle Ages, with various subseries: </w:t>
      </w:r>
      <w:r>
        <w:rPr>
          <w:rFonts w:ascii="Gentium" w:hAnsi="Gentium" w:eastAsia="Gentium" w:cs="Gentium"/>
          <w:lang w:val="en-ZA"/>
        </w:rPr>
        <w:t xml:space="preserve">Patristic Greek authors,  Patristic Latin authors, a mediaeval text series and the  Apocryphal Text Series. Also includes lexicographic tools, and reference works. A newly started project of translating all editions </w:t>
      </w:r>
      <w:r>
        <w:rPr>
          <w:rFonts w:ascii="Gentium" w:hAnsi="Gentium" w:eastAsia="Gentium" w:cs="Gentium"/>
        </w:rPr>
        <w:t xml:space="preserve">of Greek and Latin patristic and medieval texts that have appeared in the </w:t>
      </w:r>
      <w:r>
        <w:rPr>
          <w:rFonts w:ascii="Gentium" w:hAnsi="Gentium" w:eastAsia="Gentium" w:cs="Gentium"/>
          <w:i/>
          <w:iCs/>
        </w:rPr>
        <w:t xml:space="preserve">Corpus Christianorum</w:t>
      </w:r>
      <w:r>
        <w:rPr>
          <w:rFonts w:ascii="Gentium" w:hAnsi="Gentium" w:eastAsia="Gentium" w:cs="Gentium"/>
        </w:rPr>
        <w:t xml:space="preserve"> series </w:t>
      </w:r>
      <w:r>
        <w:rPr>
          <w:rFonts w:ascii="Gentium" w:hAnsi="Gentium" w:eastAsia="Gentium" w:cs="Gentium"/>
          <w:lang w:val="en-ZA"/>
        </w:rPr>
        <w:t xml:space="preserve">into modern languages, particularly useful for reference purposes and as research aid.</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37"/>
        <w:pBdr/>
        <w:spacing w:after="0" w:before="0" w:line="240" w:lineRule="auto"/>
        <w:ind w:hanging="720" w:left="720"/>
        <w:jc w:val="both"/>
        <w:rPr>
          <w:rFonts w:ascii="Gentium" w:hAnsi="Gentium" w:cs="Gentium"/>
          <w:sz w:val="24"/>
          <w:szCs w:val="24"/>
        </w:rPr>
      </w:pPr>
      <w:r>
        <w:rPr>
          <w:rFonts w:ascii="Gentium" w:hAnsi="Gentium" w:eastAsia="Gentium" w:cs="Gentium"/>
          <w:sz w:val="24"/>
          <w:szCs w:val="24"/>
          <w:lang w:val="de-DE"/>
        </w:rPr>
        <w:t xml:space="preserve">Die griechischen christlichen Schriftsteller der ersten Jahrhunderte. Edited by Christoph Markschies. On behalf of the Berlin-Brandenburgische Akademie der Wissenschaften. Multiple volumes. Berlin; New York, N.Y.: De Gruyter, 1899 – </w:t>
      </w:r>
      <w:r>
        <w:rPr>
          <w:rFonts w:ascii="Gentium" w:hAnsi="Gentium" w:cs="Gentium"/>
          <w:sz w:val="24"/>
          <w:szCs w:val="24"/>
        </w:rPr>
      </w:r>
      <w:r>
        <w:rPr>
          <w:rFonts w:ascii="Gentium" w:hAnsi="Gentium" w:cs="Gentium"/>
          <w:sz w:val="24"/>
          <w:szCs w:val="24"/>
        </w:rPr>
      </w:r>
    </w:p>
    <w:p>
      <w:pPr>
        <w:pStyle w:val="937"/>
        <w:pBdr/>
        <w:spacing w:after="0" w:before="0" w:line="240" w:lineRule="auto"/>
        <w:ind w:left="680"/>
        <w:jc w:val="both"/>
        <w:rPr>
          <w:rFonts w:ascii="Gentium" w:hAnsi="Gentium" w:cs="Gentium"/>
          <w:sz w:val="24"/>
          <w:szCs w:val="24"/>
        </w:rPr>
      </w:pPr>
      <w:r>
        <w:rPr>
          <w:rFonts w:ascii="Gentium" w:hAnsi="Gentium" w:eastAsia="Gentium" w:cs="Gentium"/>
          <w:sz w:val="24"/>
          <w:szCs w:val="24"/>
        </w:rPr>
        <w:t xml:space="preserve">Greek Christian writers of the first three/</w:t>
      </w:r>
      <w:r>
        <w:rPr>
          <w:rFonts w:ascii="Gentium" w:hAnsi="Gentium" w:eastAsia="Gentium" w:cs="Gentium"/>
          <w:sz w:val="24"/>
          <w:szCs w:val="24"/>
        </w:rPr>
        <w:t xml:space="preserve">four centuries (the official description of the series states it to “provide complete coverage of the first three centuries”, but works from the fourth century are also featured). Some old volumes still in print, but most volumes newly reworked since 1990.</w:t>
      </w:r>
      <w:r>
        <w:rPr>
          <w:rFonts w:ascii="Gentium" w:hAnsi="Gentium" w:cs="Gentium"/>
          <w:sz w:val="24"/>
          <w:szCs w:val="24"/>
        </w:rPr>
      </w:r>
      <w:r>
        <w:rPr>
          <w:rFonts w:ascii="Gentium" w:hAnsi="Gentium" w:cs="Gentium"/>
          <w:sz w:val="24"/>
          <w:szCs w:val="24"/>
        </w:rPr>
      </w:r>
    </w:p>
    <w:p>
      <w:pPr>
        <w:pStyle w:val="937"/>
        <w:pBdr/>
        <w:spacing w:after="0" w:before="0" w:line="240" w:lineRule="auto"/>
        <w:ind w:left="680"/>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37"/>
        <w:pBdr/>
        <w:spacing w:after="0" w:before="0" w:line="240" w:lineRule="auto"/>
        <w:ind w:hanging="720" w:left="720"/>
        <w:jc w:val="both"/>
        <w:rPr>
          <w:rFonts w:ascii="Gentium" w:hAnsi="Gentium" w:cs="Gentium"/>
          <w:sz w:val="24"/>
          <w:szCs w:val="24"/>
        </w:rPr>
      </w:pPr>
      <w:r>
        <w:rPr>
          <w:rFonts w:ascii="Gentium" w:hAnsi="Gentium" w:eastAsia="Gentium" w:cs="Gentium"/>
          <w:sz w:val="24"/>
          <w:szCs w:val="24"/>
          <w:lang w:val="en-ZA" w:eastAsia="en-ZA"/>
        </w:rPr>
        <w:t xml:space="preserve">Fontes Christiani, series 1, 2, 4, series editors Marc-Aeilko Aris, Franz Dünzl, Winfried Haunerland, Roland Kany, Isabelle Mandrella und Rudolf Schieffer; multiple volumes. Freiburg: Herder, 1990--.</w:t>
      </w:r>
      <w:r>
        <w:rPr>
          <w:rFonts w:ascii="Gentium" w:hAnsi="Gentium" w:cs="Gentium"/>
          <w:sz w:val="24"/>
          <w:szCs w:val="24"/>
        </w:rPr>
      </w:r>
      <w:r>
        <w:rPr>
          <w:rFonts w:ascii="Gentium" w:hAnsi="Gentium" w:cs="Gentium"/>
          <w:sz w:val="24"/>
          <w:szCs w:val="24"/>
        </w:rPr>
      </w:r>
    </w:p>
    <w:p>
      <w:pPr>
        <w:pStyle w:val="937"/>
        <w:pBdr/>
        <w:shd w:val="clear" w:color="auto" w:fill="ffffff"/>
        <w:spacing w:after="0" w:before="0" w:line="240" w:lineRule="auto"/>
        <w:ind w:left="680"/>
        <w:jc w:val="both"/>
        <w:rPr>
          <w:rFonts w:ascii="Gentium" w:hAnsi="Gentium" w:cs="Gentium"/>
          <w:iCs/>
          <w:sz w:val="24"/>
          <w:szCs w:val="24"/>
        </w:rPr>
      </w:pPr>
      <w:r>
        <w:rPr>
          <w:rFonts w:ascii="Gentium" w:hAnsi="Gentium" w:eastAsia="Gentium" w:cs="Gentium"/>
          <w:iCs/>
          <w:sz w:val="24"/>
          <w:szCs w:val="24"/>
          <w:lang w:val="en-ZA" w:eastAsia="en-ZA"/>
        </w:rPr>
        <w:t xml:space="preserve">Bilingual editions of Christian source-texts from Antiquity and the Middle Ages. Volumes provide the text in its original language (when this is Greek or Latin), with German translation; with introductions, notes and indices.</w:t>
      </w:r>
      <w:r>
        <w:rPr>
          <w:rFonts w:ascii="Gentium" w:hAnsi="Gentium" w:cs="Gentium"/>
          <w:iCs/>
          <w:sz w:val="24"/>
          <w:szCs w:val="24"/>
        </w:rPr>
      </w:r>
      <w:r>
        <w:rPr>
          <w:rFonts w:ascii="Gentium" w:hAnsi="Gentium" w:cs="Gentium"/>
          <w:iCs/>
          <w:sz w:val="24"/>
          <w:szCs w:val="24"/>
        </w:rPr>
      </w:r>
    </w:p>
    <w:p>
      <w:pPr>
        <w:pStyle w:val="937"/>
        <w:pBdr/>
        <w:shd w:val="clear" w:color="auto" w:fill="ffffff"/>
        <w:spacing w:after="0" w:before="0" w:line="240" w:lineRule="auto"/>
        <w:ind w:hanging="709" w:left="709"/>
        <w:jc w:val="both"/>
        <w:rPr>
          <w:rFonts w:ascii="Gentium" w:hAnsi="Gentium" w:cs="Gentium"/>
          <w:iCs/>
          <w:sz w:val="24"/>
          <w:szCs w:val="24"/>
        </w:rPr>
      </w:pPr>
      <w:r>
        <w:rPr>
          <w:rFonts w:ascii="Gentium" w:hAnsi="Gentium" w:cs="Gentium"/>
          <w:iCs/>
          <w:sz w:val="24"/>
          <w:szCs w:val="24"/>
        </w:rPr>
      </w:r>
      <w:r>
        <w:rPr>
          <w:rFonts w:ascii="Gentium" w:hAnsi="Gentium" w:cs="Gentium"/>
          <w:iCs/>
          <w:sz w:val="24"/>
          <w:szCs w:val="24"/>
        </w:rPr>
      </w:r>
      <w:r>
        <w:rPr>
          <w:rFonts w:ascii="Gentium" w:hAnsi="Gentium" w:cs="Gentium"/>
          <w:iCs/>
          <w:sz w:val="24"/>
          <w:szCs w:val="24"/>
        </w:rPr>
      </w:r>
    </w:p>
    <w:p>
      <w:pPr>
        <w:pStyle w:val="937"/>
        <w:pBdr/>
        <w:spacing w:after="0" w:before="0" w:line="240" w:lineRule="auto"/>
        <w:ind w:hanging="720" w:left="720"/>
        <w:jc w:val="both"/>
        <w:rPr>
          <w:rFonts w:ascii="Gentium" w:hAnsi="Gentium" w:cs="Gentium"/>
          <w:sz w:val="24"/>
          <w:szCs w:val="24"/>
        </w:rPr>
      </w:pPr>
      <w:r>
        <w:rPr>
          <w:rFonts w:ascii="Gentium" w:hAnsi="Gentium" w:eastAsia="Gentium" w:cs="Gentium"/>
          <w:sz w:val="24"/>
          <w:szCs w:val="24"/>
          <w:lang w:val="fr-FR" w:eastAsia="en-ZA"/>
        </w:rPr>
        <w:t xml:space="preserve">Fontes Christiani, series 3, multiple volumes. </w:t>
      </w:r>
      <w:r>
        <w:rPr>
          <w:rFonts w:ascii="Gentium" w:hAnsi="Gentium" w:eastAsia="Gentium" w:cs="Gentium"/>
          <w:sz w:val="24"/>
          <w:szCs w:val="24"/>
          <w:lang w:val="en-ZA" w:eastAsia="en-ZA"/>
        </w:rPr>
        <w:t xml:space="preserve">Turnhout: Brepols Publishers, 2002--.</w:t>
      </w:r>
      <w:r>
        <w:rPr>
          <w:rFonts w:ascii="Gentium" w:hAnsi="Gentium" w:cs="Gentium"/>
          <w:sz w:val="24"/>
          <w:szCs w:val="24"/>
        </w:rPr>
      </w:r>
      <w:r>
        <w:rPr>
          <w:rFonts w:ascii="Gentium" w:hAnsi="Gentium" w:cs="Gentium"/>
          <w:sz w:val="24"/>
          <w:szCs w:val="24"/>
        </w:rPr>
      </w:r>
    </w:p>
    <w:p>
      <w:pPr>
        <w:pStyle w:val="937"/>
        <w:pBdr/>
        <w:shd w:val="clear" w:color="auto" w:fill="ffffff"/>
        <w:spacing w:after="0" w:before="0" w:line="240" w:lineRule="auto"/>
        <w:ind w:left="709"/>
        <w:jc w:val="both"/>
        <w:rPr>
          <w:rFonts w:ascii="Gentium" w:hAnsi="Gentium" w:cs="Gentium"/>
          <w:iCs/>
          <w:sz w:val="24"/>
          <w:szCs w:val="24"/>
        </w:rPr>
      </w:pPr>
      <w:r>
        <w:rPr>
          <w:rFonts w:ascii="Gentium" w:hAnsi="Gentium" w:eastAsia="Gentium" w:cs="Gentium"/>
          <w:iCs/>
          <w:sz w:val="24"/>
          <w:szCs w:val="24"/>
          <w:lang w:val="en-ZA" w:eastAsia="en-ZA"/>
        </w:rPr>
        <w:t xml:space="preserve">Bilingual editions of Christian source-texts from Antiquity and the Middle Ages. Volumes provide the text in its original language (when this is Greek or Latin), with German translation; with introductions, notes and indices. </w:t>
      </w:r>
      <w:r>
        <w:rPr>
          <w:rFonts w:ascii="Gentium" w:hAnsi="Gentium" w:cs="Gentium"/>
          <w:iCs/>
          <w:sz w:val="24"/>
          <w:szCs w:val="24"/>
        </w:rPr>
      </w:r>
      <w:r>
        <w:rPr>
          <w:rFonts w:ascii="Gentium" w:hAnsi="Gentium" w:cs="Gentium"/>
          <w:iCs/>
          <w:sz w:val="24"/>
          <w:szCs w:val="24"/>
        </w:rPr>
      </w:r>
    </w:p>
    <w:p>
      <w:pPr>
        <w:pStyle w:val="937"/>
        <w:pBdr/>
        <w:shd w:val="clear" w:color="auto" w:fill="ffffff"/>
        <w:spacing w:after="0" w:before="0" w:line="240" w:lineRule="auto"/>
        <w:ind/>
        <w:jc w:val="both"/>
        <w:rPr>
          <w:rFonts w:ascii="Gentium" w:hAnsi="Gentium" w:cs="Gentium"/>
          <w:iCs/>
          <w:color w:val="3d3d3d"/>
          <w:sz w:val="13"/>
          <w:szCs w:val="13"/>
        </w:rPr>
      </w:pPr>
      <w:r>
        <w:rPr>
          <w:rFonts w:ascii="Gentium" w:hAnsi="Gentium" w:cs="Gentium"/>
          <w:iCs/>
          <w:color w:val="3d3d3d"/>
          <w:sz w:val="13"/>
          <w:szCs w:val="13"/>
        </w:rPr>
      </w:r>
      <w:r>
        <w:rPr>
          <w:rFonts w:ascii="Gentium" w:hAnsi="Gentium" w:cs="Gentium"/>
          <w:iCs/>
          <w:color w:val="3d3d3d"/>
          <w:sz w:val="13"/>
          <w:szCs w:val="13"/>
        </w:rPr>
      </w:r>
      <w:r>
        <w:rPr>
          <w:rFonts w:ascii="Gentium" w:hAnsi="Gentium" w:cs="Gentium"/>
          <w:iCs/>
          <w:color w:val="3d3d3d"/>
          <w:sz w:val="13"/>
          <w:szCs w:val="13"/>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bookmarkStart w:id="31" w:name="_Toc414386074"/>
      <w:r>
        <w:rPr>
          <w:rFonts w:ascii="Gentium" w:hAnsi="Gentium" w:eastAsia="Gentium" w:cs="Gentium"/>
          <w:lang w:val="en-ZA"/>
        </w:rPr>
        <w:t xml:space="preserve">Popular resources for early Christian literature</w:t>
      </w:r>
      <w:bookmarkEnd w:id="31"/>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lang w:val="en-ZA"/>
        </w:rPr>
        <w:t xml:space="preserve">These sources of texts in translation (all translations in the public domain) are freely accessible, and the links were active at the time of writing. However, users should be aware of big differences in quality of text and translation. </w:t>
      </w:r>
      <w:r>
        <w:rPr>
          <w:rFonts w:ascii="Gentium" w:hAnsi="Gentium" w:eastAsia="Gentium" w:cs="Gentium"/>
        </w:rPr>
        <w:t xml:space="preserve">Early Christian Writings is a comprehensive web resource on Christian writings from the New Testament up to the fourth ce</w:t>
      </w:r>
      <w:r>
        <w:rPr>
          <w:rFonts w:ascii="Gentium" w:hAnsi="Gentium" w:eastAsia="Gentium" w:cs="Gentium"/>
        </w:rPr>
        <w:t xml:space="preserve">ntury with not only the translated texts themselves but also introductory material, scholarly articles and commentary, a discussion forum, plus secondary scholarly literature (in the public domain, thus somewhat dated), and so on. Monachos. The Patristic S</w:t>
      </w:r>
      <w:r>
        <w:rPr>
          <w:rFonts w:ascii="Gentium" w:hAnsi="Gentium" w:eastAsia="Gentium" w:cs="Gentium"/>
        </w:rPr>
        <w:t xml:space="preserve">ource Texts is part of a web site devoted to the study of Orthodox Christianity which explains its focus and selection of texts, but it also encompasses other resources such as studies of individual ecclesiastical figures and writers, and patristic themes.</w:t>
      </w:r>
      <w:r>
        <w:rPr>
          <w:rFonts w:ascii="Gentium" w:hAnsi="Gentium" w:cs="Gentium"/>
        </w:rPr>
      </w:r>
      <w:r>
        <w:rPr>
          <w:rFonts w:ascii="Gentium" w:hAnsi="Gentium" w:cs="Gentium"/>
        </w:rPr>
      </w:r>
    </w:p>
    <w:p>
      <w:pPr>
        <w:pStyle w:val="937"/>
        <w:pBdr/>
        <w:spacing w:after="0" w:before="0" w:line="240" w:lineRule="auto"/>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eastAsia="Gentium" w:cs="Gentium"/>
          <w:sz w:val="24"/>
          <w:szCs w:val="24"/>
        </w:rPr>
        <w:t xml:space="preserve">Early Christian Writings, edited by Peter Kirby.</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eastAsia="Gentium" w:cs="Gentium"/>
          <w:sz w:val="24"/>
          <w:szCs w:val="24"/>
        </w:rPr>
        <w:t xml:space="preserve">An online resource in English translation with all the Christian writings from the first and second centuries, as well as a few selected from the early third. It also incl</w:t>
      </w:r>
      <w:r>
        <w:rPr>
          <w:rFonts w:ascii="Gentium" w:hAnsi="Gentium" w:eastAsia="Gentium" w:cs="Gentium"/>
          <w:sz w:val="24"/>
          <w:szCs w:val="24"/>
        </w:rPr>
        <w:t xml:space="preserve">udes non-Christian documents bearing on the study of early Christianity. Some are available in the original language. It includes scholarly introductions to these texts. Literature arranged according to plausible chronology of origins. Available online at </w:t>
      </w:r>
      <w:hyperlink r:id="rId28" w:tooltip="http://www.earlychristianwritings.com/" w:history="1">
        <w:r>
          <w:rPr>
            <w:rStyle w:val="976"/>
            <w:rFonts w:ascii="Gentium" w:hAnsi="Gentium" w:eastAsia="Gentium" w:cs="Gentium"/>
            <w:sz w:val="24"/>
            <w:szCs w:val="24"/>
          </w:rPr>
          <w:t xml:space="preserve">http://www.earlychristianwritings.com/</w:t>
        </w:r>
      </w:hyperlink>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eastAsia="Gentium" w:cs="Gentium"/>
          <w:sz w:val="24"/>
          <w:szCs w:val="24"/>
        </w:rPr>
        <w:t xml:space="preserve">Monachos. The Patristic Source Texts – Master List. </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eastAsia="Gentium" w:cs="Gentium"/>
          <w:sz w:val="24"/>
          <w:szCs w:val="24"/>
        </w:rPr>
        <w:t xml:space="preserve">Part of a web site dedicated to t</w:t>
      </w:r>
      <w:r>
        <w:rPr>
          <w:rFonts w:ascii="Gentium" w:hAnsi="Gentium" w:eastAsia="Gentium" w:cs="Gentium"/>
          <w:sz w:val="24"/>
          <w:szCs w:val="24"/>
        </w:rPr>
        <w:t xml:space="preserve">he study of Orthodox Christianity through its patristic, monastic and liturgical heritage, the Master List contains a selection over three hundred individual texts from both western and eastern patristic writers in English translation. Available online at </w:t>
      </w:r>
      <w:hyperlink r:id="rId29" w:tooltip="http://www.monachos.net/content/patristics/texts" w:history="1">
        <w:r>
          <w:rPr>
            <w:rStyle w:val="976"/>
            <w:rFonts w:ascii="Gentium" w:hAnsi="Gentium" w:eastAsia="Gentium" w:cs="Gentium"/>
            <w:sz w:val="24"/>
            <w:szCs w:val="24"/>
          </w:rPr>
          <w:t xml:space="preserve">http://www.monachos.net/content/patristics/texts</w:t>
        </w:r>
      </w:hyperlink>
      <w:r>
        <w:rPr>
          <w:rFonts w:ascii="Gentium" w:hAnsi="Gentium" w:eastAsia="Gentium" w:cs="Gentium"/>
          <w:sz w:val="24"/>
          <w:szCs w:val="24"/>
        </w:rPr>
        <w:t xml:space="preserve"> </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0"/>
        <w:pBdr/>
        <w:spacing/>
        <w:ind/>
        <w:rPr>
          <w:rFonts w:ascii="Gentium" w:hAnsi="Gentium" w:cs="Gentium"/>
        </w:rPr>
      </w:pPr>
      <w:r>
        <w:rPr>
          <w:rFonts w:ascii="Gentium" w:hAnsi="Gentium" w:eastAsia="Gentium" w:cs="Gentium"/>
        </w:rPr>
        <w:t xml:space="preserve">S</w:t>
      </w:r>
      <w:r>
        <w:rPr>
          <w:rFonts w:ascii="Gentium" w:hAnsi="Gentium" w:eastAsia="Gentium" w:cs="Gentium"/>
          <w:lang w:val="en-US"/>
        </w:rPr>
        <w:t xml:space="preserve">ocial aspects of Early Christianity </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rPr>
        <w:t xml:space="preserve">For the purposes of this bibliographic article this category is conceived of as encompassing of a number of widely divergent rubrics that are, arguably, theoretically related and mutually implicating. Fro</w:t>
      </w:r>
      <w:r>
        <w:rPr>
          <w:rFonts w:ascii="Gentium" w:hAnsi="Gentium" w:eastAsia="Gentium" w:cs="Gentium"/>
        </w:rPr>
        <w:t xml:space="preserve">m a cultural studies perspective, social formation; identity making; invention, maintenance, and performance of culture; cultural memory making; sacralization of persons,  times and places; body and gender discourse as a way to instill a new kind of habitu</w:t>
      </w:r>
      <w:r>
        <w:rPr>
          <w:rFonts w:ascii="Gentium" w:hAnsi="Gentium" w:eastAsia="Gentium" w:cs="Gentium"/>
        </w:rPr>
        <w:t xml:space="preserve">s, are all ways into early Christianity as a cultural formation. “Culture” is understood here as a site of social and political positioning, a site of contention, in other words: the political toil of imagining ourselves as positioned in a specific manner </w:t>
      </w:r>
      <w:r>
        <w:rPr>
          <w:rFonts w:ascii="Gentium" w:hAnsi="Gentium" w:eastAsia="Gentium" w:cs="Gentium"/>
          <w:i/>
          <w:iCs/>
        </w:rPr>
        <w:t xml:space="preserve">vis-á-vis </w:t>
      </w:r>
      <w:r>
        <w:rPr>
          <w:rFonts w:ascii="Gentium" w:hAnsi="Gentium" w:eastAsia="Gentium" w:cs="Gentium"/>
        </w:rPr>
        <w:t xml:space="preserve">all other imagined communities</w:t>
      </w:r>
      <w:r>
        <w:rPr>
          <w:rFonts w:ascii="Gentium" w:hAnsi="Gentium" w:eastAsia="Gentium" w:cs="Gentium"/>
        </w:rPr>
        <w:t xml:space="preserve">, and doing so drawing on a multitude of symbolic interventions in order to effect and maintain this positioning and identity. With regard to early Christian practices a special focus falls on meals/eucharist, baptism as initiation rite, pilgrimages and cu</w:t>
      </w:r>
      <w:r>
        <w:rPr>
          <w:rFonts w:ascii="Gentium" w:hAnsi="Gentium" w:eastAsia="Gentium" w:cs="Gentium"/>
        </w:rPr>
        <w:t xml:space="preserve">lts of holy men, and martyrdom and its memorialisation. Body, gender, and ethnicity have recently been foregrounded as important discourse sites for interpreting early Christian discourse, while issues of empire (especially of Christianity as itself an imp</w:t>
      </w:r>
      <w:r>
        <w:rPr>
          <w:rFonts w:ascii="Gentium" w:hAnsi="Gentium" w:eastAsia="Gentium" w:cs="Gentium"/>
        </w:rPr>
        <w:t xml:space="preserve">erial formation) have equally come to dominate scholarship on the formation of Christianity. Media studies on the formation and transmission of Christian traditions (see above “Early Christian Literature”) can also be profitably considered in this context.</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bookmarkStart w:id="32" w:name="_Toc414386076"/>
      <w:r>
        <w:rPr>
          <w:rFonts w:ascii="Gentium" w:hAnsi="Gentium" w:eastAsia="Gentium" w:cs="Gentium"/>
        </w:rPr>
        <w:t xml:space="preserve">Early Christian Social Formations</w:t>
      </w:r>
      <w:bookmarkEnd w:id="32"/>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i/>
        </w:rPr>
      </w:pPr>
      <w:r>
        <w:rPr>
          <w:rFonts w:ascii="Gentium" w:hAnsi="Gentium" w:cs="Gentium"/>
          <w:i/>
        </w:rPr>
      </w:r>
      <w:r>
        <w:rPr>
          <w:rFonts w:ascii="Gentium" w:hAnsi="Gentium" w:cs="Gentium"/>
          <w:i/>
        </w:rPr>
      </w:r>
      <w:r>
        <w:rPr>
          <w:rFonts w:ascii="Gentium" w:hAnsi="Gentium" w:cs="Gentium"/>
          <w:i/>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Using voluntary associations as a type, Kloppenborg and Wilson, eds., analyse a key feature of the social reality of ancient religions, namely how they were woven into the social fabric of ancient urban life. Various ki</w:t>
      </w:r>
      <w:r>
        <w:rPr>
          <w:rFonts w:ascii="Gentium" w:hAnsi="Gentium" w:eastAsia="Gentium" w:cs="Gentium"/>
        </w:rPr>
        <w:t xml:space="preserve">nds of associations come in purview: philosophical schools, clubs, mystery cult groups, as well as the way in which Jewish synagogues and Christian churches adapted to these social realities, in fact appeared as one kind of associations among many others.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Ascough and Kloppenborg, eds., is the first part of a multi-volumed collection of inscriptions with commentary illustrating aspects of ancient voluntary associations, including Christian cult groups.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Ascough, Harland, and Kloppenborg is an extensive sourcebook with translated inscriptions, descriptions of buildings and meeting places, and literary references to religious associations.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Harland (</w:t>
      </w:r>
      <w:r>
        <w:rPr>
          <w:rFonts w:ascii="Gentium" w:hAnsi="Gentium" w:eastAsia="Gentium" w:cs="Gentium"/>
          <w:i/>
        </w:rPr>
        <w:t xml:space="preserve">AGRW</w:t>
      </w:r>
      <w:r>
        <w:rPr>
          <w:rFonts w:ascii="Gentium" w:hAnsi="Gentium" w:eastAsia="Gentium" w:cs="Gentium"/>
        </w:rPr>
        <w:t xml:space="preserve">) is an Internet companion to the </w:t>
      </w:r>
      <w:r>
        <w:rPr>
          <w:rFonts w:ascii="Gentium" w:hAnsi="Gentium" w:eastAsia="Gentium" w:cs="Gentium"/>
          <w:i/>
        </w:rPr>
        <w:t xml:space="preserve">Sourcebook</w:t>
      </w:r>
      <w:r>
        <w:rPr>
          <w:rFonts w:ascii="Gentium" w:hAnsi="Gentium" w:eastAsia="Gentium" w:cs="Gentium"/>
        </w:rPr>
        <w:t xml:space="preserve"> browseable by inscription, exhibit, topics, with links to other sites among which online publications of inscriptions. Harland (</w:t>
      </w:r>
      <w:r>
        <w:rPr>
          <w:rFonts w:ascii="Gentium" w:hAnsi="Gentium" w:eastAsia="Gentium" w:cs="Gentium"/>
          <w:i/>
        </w:rPr>
        <w:t xml:space="preserve">Associations</w:t>
      </w:r>
      <w:r>
        <w:rPr>
          <w:rFonts w:ascii="Gentium" w:hAnsi="Gentium" w:eastAsia="Gentium" w:cs="Gentium"/>
        </w:rPr>
        <w:t xml:space="preserve">) focuses on the Roman province of Asia Minor and is a comparison of associations, synagogues, and Christian churches, arguing that Graeco-Roman cult assemblies, Jewish synagogues, and Christian house churches looked and functioned</w:t>
      </w:r>
      <w:r>
        <w:rPr>
          <w:rFonts w:ascii="Gentium" w:hAnsi="Gentium" w:eastAsia="Gentium" w:cs="Gentium"/>
        </w:rPr>
        <w:t xml:space="preserve"> very similarly and thus constitute an ideal entry point for religio-historical comparison with a view to understanding the place of Jews and Christians in the social realities of urban life in Graeco-Roman antiquity (a “sociology of early Christianity”).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t xml:space="preserve">Hanges compares the apostle Paul as cult founder to similar cases of cult foundations in antiquity, redescribing his multiple cult group foundings as embed</w:t>
      </w:r>
      <w:r>
        <w:rPr>
          <w:rFonts w:ascii="Gentium" w:hAnsi="Gentium" w:eastAsia="Gentium" w:cs="Gentium"/>
        </w:rPr>
        <w:t xml:space="preserve">ded in a widely known, recognized, and widespread convention in the Hellenistic-Roman world. The implication of this being that the social formation of Christian cult groups is not a singular and unique (incomparable) phenomenon in the Graeco-Roman world. </w:t>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right="0" w:firstLine="720" w:left="0"/>
        <w:jc w:val="both"/>
        <w:rPr>
          <w:rFonts w:ascii="Gentium" w:hAnsi="Gentium" w:cs="Gentium"/>
          <w:i/>
        </w:rPr>
      </w:pPr>
      <w:r>
        <w:rPr>
          <w:rFonts w:ascii="Gentium" w:hAnsi="Gentium" w:cs="Gentium"/>
          <w:i/>
        </w:rPr>
      </w:r>
      <w:r>
        <w:rPr>
          <w:rFonts w:ascii="Gentium" w:hAnsi="Gentium" w:cs="Gentium"/>
          <w:i/>
        </w:rPr>
      </w:r>
      <w:r>
        <w:rPr>
          <w:rFonts w:ascii="Gentium" w:hAnsi="Gentium" w:cs="Gentium"/>
          <w:i/>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Kloppenborg, John S., and Stephen G. Wilson, eds. </w:t>
      </w:r>
      <w:r>
        <w:rPr>
          <w:rFonts w:ascii="Gentium" w:hAnsi="Gentium" w:eastAsia="Gentium" w:cs="Gentium"/>
          <w:i/>
          <w:iCs/>
        </w:rPr>
        <w:t xml:space="preserve">Voluntary Associations in the Graeco-Roman World</w:t>
      </w:r>
      <w:r>
        <w:rPr>
          <w:rFonts w:ascii="Gentium" w:hAnsi="Gentium" w:eastAsia="Gentium" w:cs="Gentium"/>
        </w:rPr>
        <w:t xml:space="preserve">. 2nd edition. London; New York, N.Y.: Routledge, 2012.</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i/>
        </w:rPr>
      </w:pPr>
      <w:r>
        <w:rPr>
          <w:rFonts w:ascii="Gentium" w:hAnsi="Gentium" w:eastAsia="Gentium" w:cs="Gentium"/>
        </w:rPr>
        <w:t xml:space="preserve">Introduction on voluntary associations as phenomenon; analysis of function, taxonomy, and membership of collegia and thiasoi; studies on various manifesta</w:t>
      </w:r>
      <w:r>
        <w:rPr>
          <w:rFonts w:ascii="Gentium" w:hAnsi="Gentium" w:eastAsia="Gentium" w:cs="Gentium"/>
        </w:rPr>
        <w:t xml:space="preserve">tions of voluntary associations: philosophical schools, churches, synagogues, Dead Sea community, Graeco-Roman cult foundations, Mithraic mysteries, cult in Christian churches and voluntary associations, the role of women in synagogues, Dead Sea community.</w:t>
      </w:r>
      <w:r>
        <w:rPr>
          <w:rFonts w:ascii="Gentium" w:hAnsi="Gentium" w:cs="Gentium"/>
          <w:i/>
        </w:rPr>
      </w:r>
      <w:r>
        <w:rPr>
          <w:rFonts w:ascii="Gentium" w:hAnsi="Gentium" w:cs="Gentium"/>
          <w:i/>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Kloppenborg, John S., and Richard S. Ascough, eds. </w:t>
      </w:r>
      <w:r>
        <w:rPr>
          <w:rFonts w:ascii="Gentium" w:hAnsi="Gentium" w:eastAsia="Gentium" w:cs="Gentium"/>
          <w:i/>
          <w:iCs/>
        </w:rPr>
        <w:t xml:space="preserve">Greco-Roman Associations. Texts, Translations, and Commentary. </w:t>
      </w:r>
      <w:r>
        <w:rPr>
          <w:rFonts w:ascii="Gentium" w:hAnsi="Gentium" w:eastAsia="Gentium" w:cs="Gentium"/>
          <w:i/>
          <w:iCs/>
          <w:lang w:val="en-ZA"/>
        </w:rPr>
        <w:t xml:space="preserve">Volume 1. Attica, Central Greece, Macedonia, Thrace</w:t>
      </w:r>
      <w:r>
        <w:rPr>
          <w:rFonts w:ascii="Gentium" w:hAnsi="Gentium" w:eastAsia="Gentium" w:cs="Gentium"/>
          <w:lang w:val="en-ZA"/>
        </w:rPr>
        <w:t xml:space="preserve">. </w:t>
      </w:r>
      <w:r>
        <w:rPr>
          <w:rFonts w:ascii="Gentium" w:hAnsi="Gentium" w:eastAsia="Gentium" w:cs="Gentium"/>
          <w:lang w:val="de-DE"/>
        </w:rPr>
        <w:t xml:space="preserve">Vol. 181. Beihefte zur Zeitschrift für die neutestamentliche Wissenschaft. Berlin; New York, N.Y.: de Gruyter, 2011.</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lang w:val="en-ZA"/>
        </w:rPr>
        <w:t xml:space="preserve">Translated inscriptions with notes and commentary. Extensive indexes provided (Athenian archons, Roman emperors and governors, deities and heroes, ethnic designations, types of associations, association names, and officers).</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Ascough, Richard S., Philip A. Harland, and John S. Kloppenborg. </w:t>
      </w:r>
      <w:r>
        <w:rPr>
          <w:rFonts w:ascii="Gentium" w:hAnsi="Gentium" w:eastAsia="Gentium" w:cs="Gentium"/>
          <w:i/>
          <w:iCs/>
        </w:rPr>
        <w:t xml:space="preserve">Associations in the Greco-Roman World: a Sourcebook</w:t>
      </w:r>
      <w:r>
        <w:rPr>
          <w:rFonts w:ascii="Gentium" w:hAnsi="Gentium" w:eastAsia="Gentium" w:cs="Gentium"/>
        </w:rPr>
        <w:t xml:space="preserve">. Waco, Tex.: Baylor University Press, 2012.</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Organized in three main sections: inscriptions and papyri, buildings and meeting places, literary references, spanning a vast swath of the Graeco-Roman world; concluding with an extensive annotated bibliography.</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right="0" w:hanging="709" w:left="709"/>
        <w:jc w:val="both"/>
        <w:rPr>
          <w:rFonts w:ascii="Gentium" w:hAnsi="Gentium" w:cs="Gentium"/>
          <w:sz w:val="24"/>
          <w:szCs w:val="24"/>
        </w:rPr>
      </w:pPr>
      <w:r>
        <w:rPr>
          <w:rFonts w:ascii="Gentium" w:hAnsi="Gentium" w:eastAsia="Gentium" w:cs="Gentium"/>
          <w:sz w:val="24"/>
          <w:szCs w:val="24"/>
        </w:rPr>
        <w:t xml:space="preserve">Harland, Philip A. “Associations in the Greco-Roman World (AGRW): A Companion to the Sourcebook (Ascough, Harland, and Kloppenborg).” Accessed July 23, 2013. </w:t>
      </w:r>
      <w:hyperlink r:id="rId30" w:tooltip="http://philipharland.com/greco-roman-associations/" w:history="1">
        <w:r>
          <w:rPr>
            <w:rStyle w:val="976"/>
            <w:rFonts w:ascii="Gentium" w:hAnsi="Gentium" w:eastAsia="Gentium" w:cs="Gentium"/>
            <w:sz w:val="24"/>
            <w:szCs w:val="24"/>
          </w:rPr>
          <w:t xml:space="preserve">http://philipharland.com/greco-roman-associations/</w:t>
        </w:r>
      </w:hyperlink>
      <w:r>
        <w:rPr>
          <w:rFonts w:ascii="Gentium" w:hAnsi="Gentium" w:eastAsia="Gentium" w:cs="Gentium"/>
          <w:sz w:val="24"/>
          <w:szCs w:val="24"/>
        </w:rPr>
        <w:t xml:space="preserve">.</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Online resource with links to all inscriptions and documents featured in Ascough, Harland and Kloppenborg (including inscriptions not included in the book); an updated and expanded bibli</w:t>
      </w:r>
      <w:r>
        <w:rPr>
          <w:rFonts w:ascii="Gentium" w:hAnsi="Gentium" w:eastAsia="Gentium" w:cs="Gentium"/>
          <w:sz w:val="24"/>
          <w:szCs w:val="24"/>
        </w:rPr>
        <w:t xml:space="preserve">ography (including works not in the book); links to external sites (“Sister Sites on Associations” – the other books by Harland, “Inscriptions and Papyri Online” – a portal to other online resources on inscriptions and papyri); browse and search functions.</w:t>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Harland, Philip A. </w:t>
      </w:r>
      <w:r>
        <w:rPr>
          <w:rFonts w:ascii="Gentium" w:hAnsi="Gentium" w:eastAsia="Gentium" w:cs="Gentium"/>
          <w:i/>
          <w:iCs/>
          <w:sz w:val="24"/>
          <w:szCs w:val="24"/>
        </w:rPr>
        <w:t xml:space="preserve">Associations, Synagogues, and Congregations: Claiming a Place in Ancient Mediterranean Society</w:t>
      </w:r>
      <w:r>
        <w:rPr>
          <w:rFonts w:ascii="Gentium" w:hAnsi="Gentium" w:eastAsia="Gentium" w:cs="Gentium"/>
          <w:sz w:val="24"/>
          <w:szCs w:val="24"/>
        </w:rPr>
        <w:t xml:space="preserve">. Minneapolis, Minn.: Augsburg Fortress Press, 2003.</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Harland describes associations in Asia Minor, membership and social networks, the purposes they served – as religious cult groups or as social clubs. A furthe</w:t>
      </w:r>
      <w:r>
        <w:rPr>
          <w:rFonts w:ascii="Gentium" w:hAnsi="Gentium" w:eastAsia="Gentium" w:cs="Gentium"/>
          <w:sz w:val="24"/>
          <w:szCs w:val="24"/>
        </w:rPr>
        <w:t xml:space="preserve">r section is on imperial cults and how these interacted with associations and continues to analyze synagogues and Christian congregations in the context of Graeco-Roman cities, how they existed in the context of and interacted with an imperial environment.</w:t>
      </w:r>
      <w:r>
        <w:rPr>
          <w:rFonts w:ascii="Gentium" w:hAnsi="Gentium" w:cs="Gentium"/>
          <w:sz w:val="24"/>
          <w:szCs w:val="24"/>
        </w:rPr>
      </w:r>
      <w:r>
        <w:rPr>
          <w:rFonts w:ascii="Gentium" w:hAnsi="Gentium" w:cs="Gentium"/>
          <w:sz w:val="24"/>
          <w:szCs w:val="24"/>
        </w:rPr>
      </w:r>
    </w:p>
    <w:p>
      <w:pPr>
        <w:pStyle w:val="1017"/>
        <w:pBdr/>
        <w:spacing/>
        <w:ind w:right="0"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right="0" w:hanging="709" w:left="709"/>
        <w:jc w:val="both"/>
        <w:rPr>
          <w:rFonts w:ascii="Gentium" w:hAnsi="Gentium" w:cs="Gentium"/>
          <w:sz w:val="24"/>
          <w:szCs w:val="24"/>
        </w:rPr>
      </w:pPr>
      <w:r>
        <w:rPr>
          <w:rFonts w:ascii="Gentium" w:hAnsi="Gentium" w:eastAsia="Gentium" w:cs="Gentium"/>
          <w:sz w:val="24"/>
          <w:szCs w:val="24"/>
        </w:rPr>
        <w:t xml:space="preserve">Hanges, James Constantine. </w:t>
      </w:r>
      <w:r>
        <w:rPr>
          <w:rFonts w:ascii="Gentium" w:hAnsi="Gentium" w:eastAsia="Gentium" w:cs="Gentium"/>
          <w:i/>
          <w:iCs/>
          <w:sz w:val="24"/>
          <w:szCs w:val="24"/>
        </w:rPr>
        <w:t xml:space="preserve">Paul, Founder of Churches: A Study in Light of the Evidence for the Role of “Founder-Figures” in the Hellenistic-Roman Period</w:t>
      </w:r>
      <w:r>
        <w:rPr>
          <w:rFonts w:ascii="Gentium" w:hAnsi="Gentium" w:eastAsia="Gentium" w:cs="Gentium"/>
          <w:sz w:val="24"/>
          <w:szCs w:val="24"/>
        </w:rPr>
        <w:t xml:space="preserve">. Vol. 292. Wissenschaftliche Untersuchungen zum Neuen Testament. Tübingen: Mohr Siebeck, 2012.</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lang w:val="en-ZA"/>
        </w:rPr>
        <w:t xml:space="preserve">Hanges argues that the work of the apostle Paul should be understood in comparison to general paradigm of cult founder in the Helleni</w:t>
      </w:r>
      <w:r>
        <w:rPr>
          <w:rFonts w:ascii="Gentium" w:hAnsi="Gentium" w:eastAsia="Gentium" w:cs="Gentium"/>
          <w:sz w:val="24"/>
          <w:szCs w:val="24"/>
          <w:lang w:val="en-ZA"/>
        </w:rPr>
        <w:t xml:space="preserve">stic-Roman world with case studies in the two transferrals of the cult of Sarapis; the founder figure as cult authority and organizer; the founding of the mysteries of Andania; and Paul as founder of churches, compared to Hellenistic-Roman cult practices. </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41"/>
        <w:pBdr/>
        <w:spacing/>
        <w:ind/>
        <w:rPr>
          <w:rFonts w:ascii="Gentium" w:hAnsi="Gentium" w:cs="Gentium"/>
        </w:rPr>
      </w:pPr>
      <w:r/>
      <w:bookmarkStart w:id="33" w:name="_Toc414386077"/>
      <w:r>
        <w:rPr>
          <w:rFonts w:ascii="Gentium" w:hAnsi="Gentium" w:eastAsia="Gentium" w:cs="Gentium"/>
          <w:lang w:val="en-ZA"/>
        </w:rPr>
        <w:t xml:space="preserve">Early Christian Identity Formation</w:t>
      </w:r>
      <w:bookmarkEnd w:id="33"/>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right="0" w:firstLine="0" w:left="0"/>
        <w:jc w:val="both"/>
        <w:rPr>
          <w:rFonts w:ascii="Gentium" w:hAnsi="Gentium" w:cs="Gentium"/>
          <w:sz w:val="24"/>
          <w:szCs w:val="24"/>
        </w:rPr>
      </w:pPr>
      <w:r>
        <w:rPr>
          <w:rFonts w:ascii="Gentium" w:hAnsi="Gentium" w:eastAsia="Gentium" w:cs="Gentium"/>
          <w:sz w:val="24"/>
          <w:szCs w:val="24"/>
        </w:rPr>
        <w:t xml:space="preserve">Processes of identity making receive much attention across the human sciences, also in studies of early Christian identity. Various theories of identity are drawn on to argue for constructedness of identity and emphasize processes, rhetoric, and position-</w:t>
      </w:r>
      <w:r>
        <w:rPr>
          <w:rFonts w:ascii="Gentium" w:hAnsi="Gentium" w:eastAsia="Gentium" w:cs="Gentium"/>
          <w:sz w:val="24"/>
          <w:szCs w:val="24"/>
        </w:rPr>
        <w:t xml:space="preserve">taking. Holmberg, ed., argue that Christian identity is formed through participation in cult, ritual, ethical instruction and relationship norms that are shaped by and in social relationships and institutions. It is a dynamic process fraught with conflict.</w:t>
      </w:r>
      <w:r>
        <w:rPr>
          <w:rFonts w:ascii="Gentium" w:hAnsi="Gentium" w:eastAsia="Gentium" w:cs="Gentium"/>
          <w:sz w:val="24"/>
          <w:szCs w:val="24"/>
          <w:lang w:val="en-ZA"/>
        </w:rPr>
        <w:t xml:space="preserve"> A companion volume is Holmberg and Winninge, eds., which focuses mainly on the New Testament itself. Harland (</w:t>
      </w:r>
      <w:r>
        <w:rPr>
          <w:rFonts w:ascii="Gentium" w:hAnsi="Gentium" w:eastAsia="Gentium" w:cs="Gentium"/>
          <w:i/>
          <w:sz w:val="24"/>
          <w:szCs w:val="24"/>
          <w:lang w:val="en-ZA"/>
        </w:rPr>
        <w:t xml:space="preserve">Dynamics</w:t>
      </w:r>
      <w:r>
        <w:rPr>
          <w:rFonts w:ascii="Gentium" w:hAnsi="Gentium" w:eastAsia="Gentium" w:cs="Gentium"/>
          <w:sz w:val="24"/>
          <w:szCs w:val="24"/>
          <w:lang w:val="en-ZA"/>
        </w:rPr>
        <w:t xml:space="preserve">) is a study on sociological dimension of early Christian identities, </w:t>
      </w:r>
      <w:r>
        <w:rPr>
          <w:rFonts w:ascii="Gentium" w:hAnsi="Gentium" w:eastAsia="Gentium" w:cs="Gentium"/>
          <w:sz w:val="24"/>
          <w:szCs w:val="24"/>
          <w:lang w:val="en-ZA"/>
        </w:rPr>
        <w:t xml:space="preserve">as Christians formed cult groups that operate much like other associations in the Graeco-Roman world. He then explores typical features of group consciousness construction, identity formation in immigrant and diaspora settings, and intergroup interactions </w:t>
      </w:r>
      <w:r>
        <w:rPr>
          <w:rFonts w:ascii="Gentium" w:hAnsi="Gentium" w:eastAsia="Gentium" w:cs="Gentium"/>
          <w:sz w:val="24"/>
          <w:szCs w:val="24"/>
          <w:lang w:val="en-ZA"/>
        </w:rPr>
        <w:t xml:space="preserve">and rivalries. Harland (“Companion”) is a companion website to the book that contains commentary on the book plus links to the relevant ancient sources and photographic material. In contrast to the conventional view that Christians, Jews, and “pagans” in t</w:t>
      </w:r>
      <w:r>
        <w:rPr>
          <w:rFonts w:ascii="Gentium" w:hAnsi="Gentium" w:eastAsia="Gentium" w:cs="Gentium"/>
          <w:sz w:val="24"/>
          <w:szCs w:val="24"/>
          <w:lang w:val="en-ZA"/>
        </w:rPr>
        <w:t xml:space="preserve">he later Roman Empire formed discrete groups differentiated by clear identity markers like body of belief, ritual, and social practice, Rébillard argues that identities in the late Roman world were actually blurred by social, ethnic, and gender differences</w:t>
      </w:r>
      <w:r>
        <w:rPr>
          <w:rFonts w:ascii="Gentium" w:hAnsi="Gentium" w:eastAsia="Gentium" w:cs="Gentium"/>
          <w:sz w:val="24"/>
          <w:szCs w:val="24"/>
        </w:rPr>
        <w:t xml:space="preserve">, focusing his study on North Africa from the second to fifth century, paying particular attention to theories of ident</w:t>
      </w:r>
      <w:r>
        <w:rPr>
          <w:rFonts w:ascii="Gentium" w:hAnsi="Gentium" w:eastAsia="Gentium" w:cs="Gentium"/>
          <w:sz w:val="24"/>
          <w:szCs w:val="24"/>
        </w:rPr>
        <w:t xml:space="preserve">ity formation that conceptualize the complex and disjunctive manner in which identity is constructed in real-life contexts. Buell analyzes the use and function of ethnicity and race identity arguments in antiquity to show how race/ethnicity was a core cate</w:t>
      </w:r>
      <w:r>
        <w:rPr>
          <w:rFonts w:ascii="Gentium" w:hAnsi="Gentium" w:eastAsia="Gentium" w:cs="Gentium"/>
          <w:sz w:val="24"/>
          <w:szCs w:val="24"/>
        </w:rPr>
        <w:t xml:space="preserve">gory of early Christian thinking about identity and how the category was employed in constructing both Jewishness and Christianness. Ethnicity and race were used both to differentiate (true) Christianness, but also to construct a universal, inclusive, Chri</w:t>
      </w:r>
      <w:r>
        <w:rPr>
          <w:rFonts w:ascii="Gentium" w:hAnsi="Gentium" w:eastAsia="Gentium" w:cs="Gentium"/>
          <w:sz w:val="24"/>
          <w:szCs w:val="24"/>
        </w:rPr>
        <w:t xml:space="preserve">stian identity. Buell’s study intends to place race and ethnicity at the centre of early Christian identity formation in order to question contemporary assumptions about race, ethnicity, and religion, especially with regard to Christian anti-Judaism. A com</w:t>
      </w:r>
      <w:r>
        <w:rPr>
          <w:rFonts w:ascii="Gentium" w:hAnsi="Gentium" w:eastAsia="Gentium" w:cs="Gentium"/>
          <w:sz w:val="24"/>
          <w:szCs w:val="24"/>
        </w:rPr>
        <w:t xml:space="preserve">pletely different approach to Christian identity formation is taken by Nasrallah, who analyzes it through the lens of spatiality, setting early Christian literature addressed to the Greeks and Romans in relation to the material culture of Roman antiquity. </w:t>
      </w:r>
      <w:r>
        <w:rPr>
          <w:rFonts w:ascii="Gentium" w:hAnsi="Gentium" w:eastAsia="Gentium" w:cs="Gentium"/>
          <w:sz w:val="24"/>
          <w:szCs w:val="24"/>
        </w:rPr>
        <w:t xml:space="preserve">She shows how Christian discourses on justice, piety, and gods and deified humans were shaped by material representations of gods and Roman imperial figures as well as geographical representations of Greek and Roman ethnicity as center of the known world. </w:t>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eastAsia="Gentium" w:cs="Gentium"/>
          <w:sz w:val="24"/>
          <w:szCs w:val="24"/>
        </w:rPr>
        <w:t xml:space="preserve">Holmberg, Bengt, ed. </w:t>
      </w:r>
      <w:r>
        <w:rPr>
          <w:rFonts w:ascii="Gentium" w:hAnsi="Gentium" w:eastAsia="Gentium" w:cs="Gentium"/>
          <w:i/>
          <w:iCs/>
          <w:sz w:val="24"/>
          <w:szCs w:val="24"/>
        </w:rPr>
        <w:t xml:space="preserve">Exploring Early Christian Identity</w:t>
      </w:r>
      <w:r>
        <w:rPr>
          <w:rFonts w:ascii="Gentium" w:hAnsi="Gentium" w:eastAsia="Gentium" w:cs="Gentium"/>
          <w:sz w:val="24"/>
          <w:szCs w:val="24"/>
        </w:rPr>
        <w:t xml:space="preserve">. </w:t>
      </w:r>
      <w:r>
        <w:rPr>
          <w:rFonts w:ascii="Gentium" w:hAnsi="Gentium" w:eastAsia="Gentium" w:cs="Gentium"/>
          <w:sz w:val="24"/>
          <w:szCs w:val="24"/>
          <w:lang w:val="de-DE"/>
        </w:rPr>
        <w:t xml:space="preserve">Vol. 226. Wissenschaftliche Untersuchungen zum Neuen Testament 1. </w:t>
      </w:r>
      <w:r>
        <w:rPr>
          <w:rFonts w:ascii="Gentium" w:hAnsi="Gentium" w:eastAsia="Gentium" w:cs="Gentium"/>
          <w:sz w:val="24"/>
          <w:szCs w:val="24"/>
          <w:lang w:val="en-ZA"/>
        </w:rPr>
        <w:t xml:space="preserve">Tübingen: Mohr Siebeck, 2008.</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lang w:val="en-ZA"/>
        </w:rPr>
        <w:t xml:space="preserve">Provides an overview </w:t>
      </w:r>
      <w:r>
        <w:rPr>
          <w:rFonts w:ascii="Gentium" w:hAnsi="Gentium" w:eastAsia="Gentium" w:cs="Gentium"/>
          <w:sz w:val="24"/>
          <w:szCs w:val="24"/>
          <w:lang w:val="en-ZA"/>
        </w:rPr>
        <w:t xml:space="preserve">of models of understanding early Christian identity formation with essays on identity discourse in Paul, Ignatius, and Theodosius; cognitive aspects of identity formation and behaviour; Ephesian and Roman Christianity; gender and true masculinity as ideal.</w:t>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eastAsia="Gentium" w:cs="Gentium"/>
          <w:sz w:val="24"/>
          <w:szCs w:val="24"/>
        </w:rPr>
        <w:t xml:space="preserve">Holmberg, Bengt, and Mikael Winninge, eds. </w:t>
      </w:r>
      <w:r>
        <w:rPr>
          <w:rFonts w:ascii="Gentium" w:hAnsi="Gentium" w:eastAsia="Gentium" w:cs="Gentium"/>
          <w:i/>
          <w:iCs/>
          <w:sz w:val="24"/>
          <w:szCs w:val="24"/>
        </w:rPr>
        <w:t xml:space="preserve">Identity Formation in the New Testament</w:t>
      </w:r>
      <w:r>
        <w:rPr>
          <w:rFonts w:ascii="Gentium" w:hAnsi="Gentium" w:eastAsia="Gentium" w:cs="Gentium"/>
          <w:sz w:val="24"/>
          <w:szCs w:val="24"/>
        </w:rPr>
        <w:t xml:space="preserve">. Vol. 227. Wissenschaftliche Untersuchungen zum Neuen Testament. </w:t>
      </w:r>
      <w:r>
        <w:rPr>
          <w:rFonts w:ascii="Gentium" w:hAnsi="Gentium" w:eastAsia="Gentium" w:cs="Gentium"/>
          <w:sz w:val="24"/>
          <w:szCs w:val="24"/>
          <w:lang w:val="en-ZA"/>
        </w:rPr>
        <w:t xml:space="preserve">Tübingen: Mohr Siebeck, 2008.</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Style w:val="952"/>
          <w:rFonts w:ascii="Gentium" w:hAnsi="Gentium" w:eastAsia="Gentium" w:cs="Gentium"/>
          <w:b w:val="0"/>
          <w:sz w:val="24"/>
          <w:szCs w:val="24"/>
        </w:rPr>
        <w:t xml:space="preserve">Investigate the role of biblical traditions in identity formation</w:t>
      </w:r>
      <w:r>
        <w:rPr>
          <w:rFonts w:ascii="Gentium" w:hAnsi="Gentium" w:eastAsia="Gentium" w:cs="Gentium"/>
          <w:b/>
          <w:sz w:val="24"/>
          <w:szCs w:val="24"/>
        </w:rPr>
        <w:t xml:space="preserve">; </w:t>
      </w:r>
      <w:r>
        <w:rPr>
          <w:rStyle w:val="952"/>
          <w:rFonts w:ascii="Gentium" w:hAnsi="Gentium" w:eastAsia="Gentium" w:cs="Gentium"/>
          <w:b w:val="0"/>
          <w:sz w:val="24"/>
          <w:szCs w:val="24"/>
        </w:rPr>
        <w:t xml:space="preserve">identity construction in texts; gender-analytical perspectives</w:t>
      </w:r>
      <w:r>
        <w:rPr>
          <w:rFonts w:ascii="Gentium" w:hAnsi="Gentium" w:eastAsia="Gentium" w:cs="Gentium"/>
          <w:sz w:val="24"/>
          <w:szCs w:val="24"/>
        </w:rPr>
        <w:t xml:space="preserve">; </w:t>
      </w:r>
      <w:r>
        <w:rPr>
          <w:rStyle w:val="952"/>
          <w:rFonts w:ascii="Gentium" w:hAnsi="Gentium" w:eastAsia="Gentium" w:cs="Gentium"/>
          <w:b w:val="0"/>
          <w:sz w:val="24"/>
          <w:szCs w:val="24"/>
        </w:rPr>
        <w:t xml:space="preserve">postcolonial analyses</w:t>
      </w:r>
      <w:r>
        <w:rPr>
          <w:rFonts w:ascii="Gentium" w:hAnsi="Gentium" w:eastAsia="Gentium" w:cs="Gentium"/>
          <w:b/>
          <w:sz w:val="24"/>
          <w:szCs w:val="24"/>
        </w:rPr>
        <w:t xml:space="preserve">; </w:t>
      </w:r>
      <w:r>
        <w:rPr>
          <w:rFonts w:ascii="Gentium" w:hAnsi="Gentium" w:eastAsia="Gentium" w:cs="Gentium"/>
          <w:sz w:val="24"/>
          <w:szCs w:val="24"/>
        </w:rPr>
        <w:t xml:space="preserve">all applied to analyses of particular texts in the New Testament.</w:t>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eastAsia="Gentium" w:cs="Gentium"/>
          <w:sz w:val="24"/>
          <w:szCs w:val="24"/>
        </w:rPr>
        <w:t xml:space="preserve">Harland, Philip A. </w:t>
      </w:r>
      <w:r>
        <w:rPr>
          <w:rFonts w:ascii="Gentium" w:hAnsi="Gentium" w:eastAsia="Gentium" w:cs="Gentium"/>
          <w:i/>
          <w:iCs/>
          <w:sz w:val="24"/>
          <w:szCs w:val="24"/>
        </w:rPr>
        <w:t xml:space="preserve">Dynamics of Identity in the World of the Early Christians. Associations, Judeans, and Cultural Minorities</w:t>
      </w:r>
      <w:r>
        <w:rPr>
          <w:rFonts w:ascii="Gentium" w:hAnsi="Gentium" w:eastAsia="Gentium" w:cs="Gentium"/>
          <w:sz w:val="24"/>
          <w:szCs w:val="24"/>
        </w:rPr>
        <w:t xml:space="preserve">. New York, N.Y.: T &amp; T Clark, 2009.</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rPr>
      </w:pPr>
      <w:r>
        <w:rPr>
          <w:rFonts w:ascii="Gentium" w:hAnsi="Gentium" w:eastAsia="Gentium" w:cs="Gentium"/>
          <w:sz w:val="24"/>
          <w:szCs w:val="24"/>
          <w:lang w:val="en-ZA"/>
        </w:rPr>
        <w:t xml:space="preserve">Harland places Jewish and Christian identities in the context of Graeco-Roman associations and draws out the familial dimensions of group identity. He compar</w:t>
      </w:r>
      <w:r>
        <w:rPr>
          <w:rFonts w:ascii="Gentium" w:hAnsi="Gentium" w:eastAsia="Gentium" w:cs="Gentium"/>
          <w:sz w:val="24"/>
          <w:szCs w:val="24"/>
          <w:lang w:val="en-ZA"/>
        </w:rPr>
        <w:t xml:space="preserve">es constructions of identity in diaspora and immigrant settings relating to integration and acculturation of Jewish and other immigrant groups in the Graeco-Roman world showing intergroup relations, interactions and rivalries, and perceptions of minorities</w:t>
      </w:r>
      <w:r>
        <w:rPr>
          <w:rFonts w:ascii="Gentium" w:hAnsi="Gentium" w:eastAsia="Gentium" w:cs="Gentium"/>
          <w:lang w:val="en-ZA"/>
        </w:rPr>
        <w:t xml:space="preserve">.</w:t>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eastAsia="Gentium" w:cs="Gentium"/>
          <w:sz w:val="24"/>
          <w:szCs w:val="24"/>
        </w:rPr>
        <w:t xml:space="preserve">Harland, Philip A. “Companion to Dynamics of Identity in the World of the Early Christians (by Philip A. Harland).” Accessed July 23, 2013. Online at </w:t>
      </w:r>
      <w:hyperlink r:id="rId31" w:tooltip="http://www.philipharland.com/DynamicsofIdentity/" w:history="1">
        <w:r>
          <w:rPr>
            <w:rStyle w:val="976"/>
            <w:rFonts w:ascii="Gentium" w:hAnsi="Gentium" w:eastAsia="Gentium" w:cs="Gentium"/>
            <w:sz w:val="24"/>
            <w:szCs w:val="24"/>
          </w:rPr>
          <w:t xml:space="preserve">http://www.philipharland.com/DynamicsofIdentity/</w:t>
        </w:r>
      </w:hyperlink>
      <w:r>
        <w:rPr>
          <w:rFonts w:ascii="Gentium" w:hAnsi="Gentium" w:eastAsia="Gentium" w:cs="Gentium"/>
          <w:sz w:val="24"/>
          <w:szCs w:val="24"/>
        </w:rPr>
        <w:t xml:space="preserve">.</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Contains commentary on the sections of the book; links to ancient sources pertaining to each book section and photo galleries; links to other websites on the Graeco-Roman world as well to Harland’s publications.</w:t>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eastAsia="Gentium" w:cs="Gentium"/>
          <w:sz w:val="24"/>
          <w:szCs w:val="24"/>
          <w:lang w:val="en-ZA"/>
        </w:rPr>
        <w:t xml:space="preserve">Rebillard, Éric. </w:t>
      </w:r>
      <w:r>
        <w:rPr>
          <w:rFonts w:ascii="Gentium" w:hAnsi="Gentium" w:eastAsia="Gentium" w:cs="Gentium"/>
          <w:i/>
          <w:iCs/>
          <w:sz w:val="24"/>
          <w:szCs w:val="24"/>
        </w:rPr>
        <w:t xml:space="preserve">Christians and Their Many Identities in Late Antiquity, North Africa, 200-450 CE</w:t>
      </w:r>
      <w:r>
        <w:rPr>
          <w:rFonts w:ascii="Gentium" w:hAnsi="Gentium" w:eastAsia="Gentium" w:cs="Gentium"/>
          <w:sz w:val="24"/>
          <w:szCs w:val="24"/>
        </w:rPr>
        <w:t xml:space="preserve">. Ithaca: Cornell University Press, 2013.</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In a theoretical introduction on identity theory and methodology Rebillard argues for multiple identities in early Christians in </w:t>
      </w:r>
      <w:r>
        <w:rPr>
          <w:rFonts w:ascii="Gentium" w:hAnsi="Gentium" w:eastAsia="Gentium" w:cs="Gentium"/>
          <w:sz w:val="24"/>
          <w:szCs w:val="24"/>
        </w:rPr>
        <w:t xml:space="preserve">their world and especially investigates Tertullian, Cyprian, and Carthage in the second and third century, with reference to the interplay between identity maintenance and persecution; Augustine and the multiplicity of Christian identities in North Africa.</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lang w:val="en-ZA"/>
        </w:rPr>
        <w:t xml:space="preserve">Buell, Denise Kimber. </w:t>
      </w:r>
      <w:r>
        <w:rPr>
          <w:rFonts w:ascii="Gentium" w:hAnsi="Gentium" w:eastAsia="Gentium" w:cs="Gentium"/>
          <w:i/>
          <w:iCs/>
        </w:rPr>
        <w:t xml:space="preserve">Why This New Race: Ethnic Reasoning in Early Christianity</w:t>
      </w:r>
      <w:r>
        <w:rPr>
          <w:rFonts w:ascii="Gentium" w:hAnsi="Gentium" w:eastAsia="Gentium" w:cs="Gentium"/>
        </w:rPr>
        <w:t xml:space="preserve">. New York, N.Y.: Columbia University Press, 2008.</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Buell argues for the contemporary significance of the study, showing the fixity and fluidity of the category ‘identity’ in ethnic/race identity reasoning in antiquity. Identity is constructed through invention</w:t>
      </w:r>
      <w:r>
        <w:rPr>
          <w:rFonts w:ascii="Gentium" w:hAnsi="Gentium" w:eastAsia="Gentium" w:cs="Gentium"/>
        </w:rPr>
        <w:t xml:space="preserve"> and appropriation of a past, the kind of reasoning used to construct both Jewishness and Christianness. She shows how ethnic reasoning was exploited in intra-Christian polemics to construct discourses of universalism versus ethnic “sectarian” heterodoxy. </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37"/>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Nasrallah, Laura Salah. </w:t>
      </w:r>
      <w:r>
        <w:rPr>
          <w:rFonts w:ascii="Gentium" w:hAnsi="Gentium" w:eastAsia="Gentium" w:cs="Gentium"/>
          <w:i/>
          <w:iCs/>
          <w:sz w:val="24"/>
          <w:szCs w:val="24"/>
        </w:rPr>
        <w:t xml:space="preserve">Christian Responses to Roman Art and Architecture: The Second-century Church amid the Spaces of Empire</w:t>
      </w:r>
      <w:r>
        <w:rPr>
          <w:rFonts w:ascii="Gentium" w:hAnsi="Gentium" w:eastAsia="Gentium" w:cs="Gentium"/>
          <w:sz w:val="24"/>
          <w:szCs w:val="24"/>
        </w:rPr>
        <w:t xml:space="preserve">. Cambridge; New York, N.Y.: Cambridge University Press, 2010.</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lang w:val="en-ZA"/>
        </w:rPr>
        <w:t xml:space="preserve">Nasrallah frames early Christian literary discourse with archaeology, showing how Christian apologetics interacted with the Second Sophistic, drawing out the influence of spatiality of the Roman wo</w:t>
      </w:r>
      <w:r>
        <w:rPr>
          <w:rFonts w:ascii="Gentium" w:hAnsi="Gentium" w:eastAsia="Gentium" w:cs="Gentium"/>
          <w:sz w:val="24"/>
          <w:szCs w:val="24"/>
          <w:lang w:val="en-ZA"/>
        </w:rPr>
        <w:t xml:space="preserve">rld on experiences of self and world. She highlights Christian experience of Roman urban spaces, cultural and moral discourses and the way Christian apologists interacted with these; Part three considers the representations of gods and Christian responses.</w:t>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bookmarkStart w:id="34" w:name="_Toc414386078"/>
      <w:r>
        <w:rPr>
          <w:rFonts w:ascii="Gentium" w:hAnsi="Gentium" w:eastAsia="Gentium" w:cs="Gentium"/>
          <w:lang w:val="en-ZA"/>
        </w:rPr>
        <w:t xml:space="preserve">Early Christian Culture and Practices</w:t>
      </w:r>
      <w:bookmarkEnd w:id="34"/>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eastAsia="Gentium" w:cs="Gentium"/>
          <w:lang w:val="en-ZA"/>
        </w:rPr>
      </w:pPr>
      <w:r>
        <w:rPr>
          <w:rFonts w:ascii="Gentium" w:hAnsi="Gentium" w:eastAsia="Gentium" w:cs="Gentium"/>
          <w:lang w:val="en-ZA"/>
        </w:rPr>
        <w:t xml:space="preserve">Studying culture is so encompassing that it is necessary to delimit the areas covered. In addition, Christian culture in the context of the </w:t>
      </w:r>
      <w:r>
        <w:rPr>
          <w:rFonts w:ascii="Gentium" w:hAnsi="Gentium" w:eastAsia="Gentium" w:cs="Gentium"/>
          <w:lang w:val="en-ZA"/>
        </w:rPr>
        <w:t xml:space="preserve">Roman Empire is also invisible for the most part, and only becomes describable once a specific Christian practice becomes sufficiently noticeable and distinct from its surrounding context. For the same reason it is impossible to say anything about Christia</w:t>
      </w:r>
      <w:r>
        <w:rPr>
          <w:rFonts w:ascii="Gentium" w:hAnsi="Gentium" w:eastAsia="Gentium" w:cs="Gentium"/>
          <w:lang w:val="en-ZA"/>
        </w:rPr>
        <w:t xml:space="preserve">n popular culture for our period. While early Christian culture was dealt with implicitly in other rubrics the emphasis here is therefore on those practices that have been visible as distinctively (even if not uniquely) Christian in its context of origin. </w:t>
      </w:r>
      <w:r>
        <w:rPr>
          <w:rFonts w:ascii="Gentium" w:hAnsi="Gentium" w:eastAsia="Gentium" w:cs="Gentium"/>
          <w:lang w:val="en-ZA"/>
        </w:rPr>
      </w:r>
      <w:r>
        <w:rPr>
          <w:rFonts w:ascii="Gentium" w:hAnsi="Gentium" w:eastAsia="Gentium" w:cs="Gentium"/>
          <w:lang w:val="en-ZA"/>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eastAsia="Gentium" w:cs="Gentium"/>
          <w:lang w:val="en-ZA"/>
        </w:rPr>
      </w:pPr>
      <w:r>
        <w:rPr>
          <w:rFonts w:ascii="Gentium" w:hAnsi="Gentium" w:eastAsia="Gentium" w:cs="Gentium"/>
          <w:lang w:val="en-ZA"/>
        </w:rPr>
        <w:t xml:space="preserve">Blasi, Duhaim, and Turcotte, eds., offers a methodological framework for understanding early Christian social and cultural practices across a broad range of phenomena, mostly concentrated on group behaviour and group formation. </w:t>
      </w:r>
      <w:r>
        <w:rPr>
          <w:rFonts w:ascii="Gentium" w:hAnsi="Gentium" w:eastAsia="Gentium" w:cs="Gentium"/>
          <w:lang w:val="en-ZA"/>
        </w:rPr>
      </w:r>
      <w:r>
        <w:rPr>
          <w:rFonts w:ascii="Gentium" w:hAnsi="Gentium" w:eastAsia="Gentium" w:cs="Gentium"/>
          <w:lang w:val="en-ZA"/>
        </w:rPr>
      </w:r>
    </w:p>
    <w:p>
      <w:pPr>
        <w:pStyle w:val="1016"/>
        <w:pBdr/>
        <w:spacing w:after="0" w:afterAutospacing="0" w:before="0" w:beforeAutospacing="0"/>
        <w:ind/>
        <w:jc w:val="both"/>
        <w:rPr>
          <w:rFonts w:ascii="Gentium" w:hAnsi="Gentium" w:eastAsia="Gentium" w:cs="Gentium"/>
          <w:highlight w:val="none"/>
          <w:lang w:val="en-ZA"/>
        </w:rPr>
      </w:pPr>
      <w:r>
        <w:rPr>
          <w:rFonts w:ascii="Gentium" w:hAnsi="Gentium" w:eastAsia="Gentium" w:cs="Gentium"/>
          <w:lang w:val="en-ZA"/>
        </w:rPr>
      </w:r>
      <w:r>
        <w:rPr>
          <w:rFonts w:ascii="Gentium" w:hAnsi="Gentium" w:eastAsia="Gentium" w:cs="Gentium"/>
          <w:highlight w:val="none"/>
          <w:lang w:val="en-ZA"/>
        </w:rPr>
      </w:r>
      <w:r>
        <w:rPr>
          <w:rFonts w:ascii="Gentium" w:hAnsi="Gentium" w:eastAsia="Gentium" w:cs="Gentium"/>
          <w:highlight w:val="none"/>
          <w:lang w:val="en-ZA"/>
        </w:rPr>
      </w:r>
    </w:p>
    <w:p>
      <w:pPr>
        <w:pStyle w:val="1016"/>
        <w:pBdr/>
        <w:spacing w:after="0" w:afterAutospacing="0" w:before="0" w:beforeAutospacing="0"/>
        <w:ind/>
        <w:jc w:val="both"/>
        <w:rPr>
          <w:rFonts w:ascii="Gentium" w:hAnsi="Gentium" w:eastAsia="Gentium" w:cs="Gentium"/>
          <w:lang w:val="en-ZA"/>
        </w:rPr>
      </w:pPr>
      <w:r>
        <w:rPr>
          <w:rFonts w:ascii="Gentium" w:hAnsi="Gentium" w:eastAsia="Gentium" w:cs="Gentium"/>
          <w:lang w:val="en-ZA"/>
        </w:rPr>
        <w:t xml:space="preserve">Horsley, ed., Burrus, ed., and Krueger, ed., are all examples of a “history from below”, a “people’s history”, in that they focus not so much on elite representations, and not primarily reconstructions based on texts, but – informe</w:t>
      </w:r>
      <w:r>
        <w:rPr>
          <w:rFonts w:ascii="Gentium" w:hAnsi="Gentium" w:eastAsia="Gentium" w:cs="Gentium"/>
          <w:lang w:val="en-ZA"/>
        </w:rPr>
        <w:t xml:space="preserve">d by archaeology and the study of social realia in a cross-cultural comparative manner – on reconstructions of Christian group formation and identity practices as they would have been valid and appropriate for a majority cross-section of Christian groups. </w:t>
      </w:r>
      <w:r>
        <w:rPr>
          <w:rFonts w:ascii="Gentium" w:hAnsi="Gentium" w:eastAsia="Gentium" w:cs="Gentium"/>
          <w:lang w:val="en-ZA"/>
        </w:rPr>
      </w:r>
      <w:r>
        <w:rPr>
          <w:rFonts w:ascii="Gentium" w:hAnsi="Gentium" w:eastAsia="Gentium" w:cs="Gentium"/>
          <w:lang w:val="en-ZA"/>
        </w:rPr>
      </w:r>
    </w:p>
    <w:p>
      <w:pPr>
        <w:pStyle w:val="1016"/>
        <w:pBdr/>
        <w:spacing w:after="0" w:afterAutospacing="0" w:before="0" w:beforeAutospacing="0"/>
        <w:ind/>
        <w:jc w:val="both"/>
        <w:rPr>
          <w:rFonts w:ascii="Gentium" w:hAnsi="Gentium" w:eastAsia="Gentium" w:cs="Gentium"/>
          <w:highlight w:val="none"/>
          <w:lang w:val="en-ZA"/>
        </w:rPr>
      </w:pPr>
      <w:r>
        <w:rPr>
          <w:rFonts w:ascii="Gentium" w:hAnsi="Gentium" w:eastAsia="Gentium" w:cs="Gentium"/>
          <w:lang w:val="en-ZA"/>
        </w:rPr>
      </w:r>
      <w:r>
        <w:rPr>
          <w:rFonts w:ascii="Gentium" w:hAnsi="Gentium" w:eastAsia="Gentium" w:cs="Gentium"/>
          <w:highlight w:val="none"/>
          <w:lang w:val="en-ZA"/>
        </w:rPr>
      </w:r>
      <w:r>
        <w:rPr>
          <w:rFonts w:ascii="Gentium" w:hAnsi="Gentium" w:eastAsia="Gentium" w:cs="Gentium"/>
          <w:highlight w:val="none"/>
          <w:lang w:val="en-ZA"/>
        </w:rPr>
      </w:r>
    </w:p>
    <w:p>
      <w:pPr>
        <w:pStyle w:val="1016"/>
        <w:pBdr/>
        <w:spacing w:after="0" w:afterAutospacing="0" w:before="0" w:beforeAutospacing="0"/>
        <w:ind/>
        <w:jc w:val="both"/>
        <w:rPr>
          <w:rFonts w:ascii="Gentium" w:hAnsi="Gentium" w:eastAsia="Gentium" w:cs="Gentium"/>
          <w:lang w:val="en-ZA"/>
        </w:rPr>
      </w:pPr>
      <w:r>
        <w:rPr>
          <w:rFonts w:ascii="Gentium" w:hAnsi="Gentium" w:eastAsia="Gentium" w:cs="Gentium"/>
          <w:lang w:val="en-ZA"/>
        </w:rPr>
        <w:t xml:space="preserve">Bradshaw offers an overview of the development of Christian cult from the earliest beginnings up to the fourth century, demonstrating the </w:t>
      </w:r>
      <w:r>
        <w:rPr>
          <w:rFonts w:ascii="Gentium" w:hAnsi="Gentium" w:eastAsia="Gentium" w:cs="Gentium"/>
        </w:rPr>
        <w:t xml:space="preserve">essentially variegated character of ancient Christian worship. </w:t>
      </w:r>
      <w:r>
        <w:rPr>
          <w:rFonts w:ascii="Gentium" w:hAnsi="Gentium" w:eastAsia="Gentium" w:cs="Gentium"/>
          <w:lang w:val="en-ZA"/>
        </w:rPr>
        <w:t xml:space="preserve">Of the distinct Christian practices, emphasis falls here on </w:t>
      </w:r>
      <w:r>
        <w:rPr>
          <w:rFonts w:ascii="Gentium" w:hAnsi="Gentium" w:eastAsia="Gentium" w:cs="Gentium"/>
          <w:lang w:val="en-ZA"/>
        </w:rPr>
        <w:t xml:space="preserve">baptism as initiation rite and the eucharist as cult meal tradition. The compendious work of Ferguson covers the originary matrices of Christian initiation washing rites and their manifold manifestations in the course of the first few Christian centuries. </w:t>
      </w:r>
      <w:r>
        <w:rPr>
          <w:rFonts w:ascii="Gentium" w:hAnsi="Gentium" w:eastAsia="Gentium" w:cs="Gentium"/>
          <w:lang w:val="en-ZA"/>
        </w:rPr>
      </w:r>
      <w:r>
        <w:rPr>
          <w:rFonts w:ascii="Gentium" w:hAnsi="Gentium" w:eastAsia="Gentium" w:cs="Gentium"/>
          <w:lang w:val="en-ZA"/>
        </w:rPr>
      </w:r>
    </w:p>
    <w:p>
      <w:pPr>
        <w:pStyle w:val="1016"/>
        <w:pBdr/>
        <w:spacing w:after="0" w:afterAutospacing="0" w:before="0" w:beforeAutospacing="0"/>
        <w:ind/>
        <w:jc w:val="both"/>
        <w:rPr>
          <w:rFonts w:ascii="Gentium" w:hAnsi="Gentium" w:eastAsia="Gentium" w:cs="Gentium"/>
          <w:highlight w:val="none"/>
          <w:lang w:val="en-ZA"/>
        </w:rPr>
      </w:pPr>
      <w:r>
        <w:rPr>
          <w:rFonts w:ascii="Gentium" w:hAnsi="Gentium" w:eastAsia="Gentium" w:cs="Gentium"/>
          <w:lang w:val="en-ZA"/>
        </w:rPr>
      </w:r>
      <w:r>
        <w:rPr>
          <w:rFonts w:ascii="Gentium" w:hAnsi="Gentium" w:eastAsia="Gentium" w:cs="Gentium"/>
          <w:highlight w:val="none"/>
          <w:lang w:val="en-ZA"/>
        </w:rPr>
      </w:r>
      <w:r>
        <w:rPr>
          <w:rFonts w:ascii="Gentium" w:hAnsi="Gentium" w:eastAsia="Gentium" w:cs="Gentium"/>
          <w:highlight w:val="none"/>
          <w:lang w:val="en-ZA"/>
        </w:rPr>
      </w:r>
    </w:p>
    <w:p>
      <w:pPr>
        <w:pStyle w:val="1016"/>
        <w:pBdr/>
        <w:spacing w:after="0" w:afterAutospacing="0" w:before="0" w:beforeAutospacing="0"/>
        <w:ind/>
        <w:jc w:val="both"/>
        <w:rPr>
          <w:rFonts w:ascii="Gentium" w:hAnsi="Gentium" w:eastAsia="Gentium" w:cs="Gentium"/>
          <w:highlight w:val="none"/>
          <w:lang w:val="en-ZA"/>
        </w:rPr>
      </w:pPr>
      <w:r>
        <w:rPr>
          <w:rFonts w:ascii="Gentium" w:hAnsi="Gentium" w:eastAsia="Gentium" w:cs="Gentium"/>
          <w:lang w:val="en-ZA"/>
        </w:rPr>
        <w:t xml:space="preserve">For Christian cult </w:t>
      </w:r>
      <w:r>
        <w:rPr>
          <w:rFonts w:ascii="Gentium" w:hAnsi="Gentium" w:eastAsia="Gentium" w:cs="Gentium"/>
          <w:lang w:val="en-ZA"/>
        </w:rPr>
        <w:t xml:space="preserve">meals and their social significance as sites of social interaction and identity propagation, Smith, Taussig, and Smith and Taussig, eds., provide extensive interpretation of the cult rite in the context of Graeco-Roman culture. Christian celebratory cult m</w:t>
      </w:r>
      <w:r>
        <w:rPr>
          <w:rFonts w:ascii="Gentium" w:hAnsi="Gentium" w:eastAsia="Gentium" w:cs="Gentium"/>
          <w:lang w:val="en-ZA"/>
        </w:rPr>
        <w:t xml:space="preserve">eals were practiced in ways very similar to Graeco-Roman banquets, and in fact, can be said to be manifestations of the same cultural practices known in the wider world, with the obvious implication that because of this practice Christian gatherings would </w:t>
      </w:r>
      <w:r>
        <w:rPr>
          <w:rFonts w:ascii="Gentium" w:hAnsi="Gentium" w:eastAsia="Gentium" w:cs="Gentium"/>
          <w:lang w:val="en-ZA"/>
        </w:rPr>
        <w:t xml:space="preserve">have caused Christian meetings to look like those of associations, philosophical schools, clubs, or friendship banquets. That they were also sites of social interaction and disintegration or conflict, is demonstrated in the study by Smith and Taussig, eds.</w:t>
      </w:r>
      <w:r>
        <w:rPr>
          <w:rFonts w:ascii="Gentium" w:hAnsi="Gentium" w:eastAsia="Gentium" w:cs="Gentium"/>
          <w:highlight w:val="none"/>
          <w:lang w:val="en-ZA"/>
        </w:rPr>
      </w:r>
      <w:r>
        <w:rPr>
          <w:rFonts w:ascii="Gentium" w:hAnsi="Gentium" w:eastAsia="Gentium" w:cs="Gentium"/>
          <w:highlight w:val="none"/>
          <w:lang w:val="en-ZA"/>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Blasi, Anthony J., Jean Duhaime, and Paul-André Turcotte, eds. </w:t>
      </w:r>
      <w:r>
        <w:rPr>
          <w:rFonts w:ascii="Gentium" w:hAnsi="Gentium" w:eastAsia="Gentium" w:cs="Gentium"/>
          <w:i/>
          <w:iCs/>
        </w:rPr>
        <w:t xml:space="preserve">Handbook of Early Christianity: Social Science Approaches</w:t>
      </w:r>
      <w:r>
        <w:rPr>
          <w:rFonts w:ascii="Gentium" w:hAnsi="Gentium" w:eastAsia="Gentium" w:cs="Gentium"/>
        </w:rPr>
        <w:t xml:space="preserve">. Walnut Creek, Calif.: AltaMira Press, 2002.</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Th</w:t>
      </w:r>
      <w:r>
        <w:rPr>
          <w:rFonts w:ascii="Gentium" w:hAnsi="Gentium" w:eastAsia="Gentium" w:cs="Gentium"/>
        </w:rPr>
        <w:t xml:space="preserve">e volume sets out social-scientific theories and their value for interpreting and explaining Christian origins, focusing on specific methods of social-scientific analysis:  from archaeology to interpretations of symbolic universes. They describe the variou</w:t>
      </w:r>
      <w:r>
        <w:rPr>
          <w:rFonts w:ascii="Gentium" w:hAnsi="Gentium" w:eastAsia="Gentium" w:cs="Gentium"/>
        </w:rPr>
        <w:t xml:space="preserve">s contexts for the emergence of the Jesus movement and early Christianity and delineate the influence of power, stratification, and difference. Another section deals with economic issues and psycho-sociological matters relating to identity and conversion. </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Horsley, Richard A., ed. </w:t>
      </w:r>
      <w:r>
        <w:rPr>
          <w:rFonts w:ascii="Gentium" w:hAnsi="Gentium" w:eastAsia="Gentium" w:cs="Gentium"/>
          <w:i/>
          <w:iCs/>
        </w:rPr>
        <w:t xml:space="preserve">A People’s History of Christianity. Volume 1. Christian Origins</w:t>
      </w:r>
      <w:r>
        <w:rPr>
          <w:rFonts w:ascii="Gentium" w:hAnsi="Gentium" w:eastAsia="Gentium" w:cs="Gentium"/>
        </w:rPr>
        <w:t xml:space="preserve">. Minneapolis, Minn.: Fortress Press, 2005.</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Introduces the concept of “people’s history” with a focus on renewal and peasant movements in first century Judaism as original context of the Christian movement, women’s re</w:t>
      </w:r>
      <w:r>
        <w:rPr>
          <w:rFonts w:ascii="Gentium" w:hAnsi="Gentium" w:eastAsia="Gentium" w:cs="Gentium"/>
        </w:rPr>
        <w:t xml:space="preserve">sponses, and Mandaean views of Jesus as baptist ascetic. The volume highlights the shaping of Christian textual traditions in urban environments with further explication of social patterns and practices on families, slaves, poverty, and women and prophecy.</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Burrus, Virginia, ed. </w:t>
      </w:r>
      <w:r>
        <w:rPr>
          <w:rFonts w:ascii="Gentium" w:hAnsi="Gentium" w:eastAsia="Gentium" w:cs="Gentium"/>
          <w:i/>
          <w:iCs/>
        </w:rPr>
        <w:t xml:space="preserve">A People’s History of Christianity. Volume 2. Late Ancient Christianity</w:t>
      </w:r>
      <w:r>
        <w:rPr>
          <w:rFonts w:ascii="Gentium" w:hAnsi="Gentium" w:eastAsia="Gentium" w:cs="Gentium"/>
        </w:rPr>
        <w:t xml:space="preserve">. Minneapolis, Minn.: Fortress Press, 2005.</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Introduces discourse theory of history highlighting the various arenas f</w:t>
      </w:r>
      <w:r>
        <w:rPr>
          <w:rFonts w:ascii="Gentium" w:hAnsi="Gentium" w:eastAsia="Gentium" w:cs="Gentium"/>
        </w:rPr>
        <w:t xml:space="preserve">or the construction and subversion of hierarchy. Various domains of local practices in which identity projects play out are described. A last section concerns the continuum of diversity into heresy and the differentiations of identity and popular religion.</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Krueger, Derek, ed. </w:t>
      </w:r>
      <w:r>
        <w:rPr>
          <w:rFonts w:ascii="Gentium" w:hAnsi="Gentium" w:eastAsia="Gentium" w:cs="Gentium"/>
          <w:i/>
          <w:iCs/>
        </w:rPr>
        <w:t xml:space="preserve">A People’s History of Christianity. Volume 3. Byzantine Christianity</w:t>
      </w:r>
      <w:r>
        <w:rPr>
          <w:rFonts w:ascii="Gentium" w:hAnsi="Gentium" w:eastAsia="Gentium" w:cs="Gentium"/>
        </w:rPr>
        <w:t xml:space="preserve">. Minneapolis, Minn.: Fortress Press, 2006.</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Introduces the character of Byzantine Christianity focusing on the construction of religious practices like lay piety, cult of mar</w:t>
      </w:r>
      <w:r>
        <w:rPr>
          <w:rFonts w:ascii="Gentium" w:hAnsi="Gentium" w:eastAsia="Gentium" w:cs="Gentium"/>
        </w:rPr>
        <w:t xml:space="preserve">tyrs, and night vigil from the perspective of church fathers. The spatial dimensions of cult practices are highlighted. A last section deals with the intersection of material religious culture and practices as well as some social aspects of religious life.</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Bradshaw, Paul F. </w:t>
      </w:r>
      <w:r>
        <w:rPr>
          <w:rFonts w:ascii="Gentium" w:hAnsi="Gentium" w:eastAsia="Gentium" w:cs="Gentium"/>
          <w:i/>
          <w:iCs/>
          <w:sz w:val="24"/>
          <w:szCs w:val="24"/>
        </w:rPr>
        <w:t xml:space="preserve">The Search for the Origins of Christian Worship: Sources and Methods for the Study of Early Liturgy</w:t>
      </w:r>
      <w:r>
        <w:rPr>
          <w:rFonts w:ascii="Gentium" w:hAnsi="Gentium" w:eastAsia="Gentium" w:cs="Gentium"/>
          <w:sz w:val="24"/>
          <w:szCs w:val="24"/>
        </w:rPr>
        <w:t xml:space="preserve">. New York, N.Y.: Oxford University Press, 2002.</w:t>
      </w:r>
      <w:r>
        <w:rPr>
          <w:rFonts w:ascii="Gentium" w:hAnsi="Gentium" w:cs="Gentium"/>
          <w:sz w:val="24"/>
          <w:szCs w:val="24"/>
        </w:rPr>
      </w:r>
      <w:r>
        <w:rPr>
          <w:rFonts w:ascii="Gentium" w:hAnsi="Gentium" w:cs="Gentium"/>
          <w:sz w:val="24"/>
          <w:szCs w:val="24"/>
        </w:rPr>
      </w:r>
    </w:p>
    <w:p>
      <w:pPr>
        <w:pStyle w:val="937"/>
        <w:pBdr/>
        <w:tabs>
          <w:tab w:val="clear" w:leader="none" w:pos="432"/>
          <w:tab w:val="left" w:leader="none" w:pos="709"/>
        </w:tabs>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Studies changes in scholarly perspectives on the origins and character of early Christian worship and delineataes the formative matrix for early Christian worship tracing its development from</w:t>
      </w:r>
      <w:r>
        <w:rPr>
          <w:rFonts w:ascii="Gentium" w:hAnsi="Gentium" w:eastAsia="Gentium" w:cs="Gentium"/>
          <w:sz w:val="24"/>
          <w:szCs w:val="24"/>
        </w:rPr>
        <w:t xml:space="preserve"> the New Testament through early church orders and liturgies with emphasis on Eucharistic rites and initiation rites and baptisms. Also focuses on attendant issues like sacred time, the structure of ministry and the effects of the Constantinian revolution.</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Ferguson, Everett. </w:t>
      </w:r>
      <w:r>
        <w:rPr>
          <w:rFonts w:ascii="Gentium" w:hAnsi="Gentium" w:eastAsia="Gentium" w:cs="Gentium"/>
          <w:i/>
          <w:iCs/>
          <w:sz w:val="24"/>
          <w:szCs w:val="24"/>
        </w:rPr>
        <w:t xml:space="preserve">Baptism in the Early Church: History, Theology, and Liturgy in the First Five Centuries</w:t>
      </w:r>
      <w:r>
        <w:rPr>
          <w:rFonts w:ascii="Gentium" w:hAnsi="Gentium" w:eastAsia="Gentium" w:cs="Gentium"/>
          <w:sz w:val="24"/>
          <w:szCs w:val="24"/>
        </w:rPr>
        <w:t xml:space="preserve">. Grand Rapids, Mich.; Cambridge, UK: Eerdmans, 2009.</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Ferguson surveys scholarship on baptism before dealing with antecedents to Christian baptism in the Graeco-Roman and Jewish world. He then outlines the development of baptism</w:t>
      </w:r>
      <w:r>
        <w:rPr>
          <w:rFonts w:ascii="Gentium" w:hAnsi="Gentium" w:eastAsia="Gentium" w:cs="Gentium"/>
          <w:sz w:val="24"/>
          <w:szCs w:val="24"/>
        </w:rPr>
        <w:t xml:space="preserve"> discourse in early Christian literature from the New Testament up to the fifth century in all geographical areas, as well as material remains. Conclusion on origins, doctrine, liturgy of baptism; origins and development of infant baptism; mode of baptism.</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Smith, Dennis E. </w:t>
      </w:r>
      <w:r>
        <w:rPr>
          <w:rFonts w:ascii="Gentium" w:hAnsi="Gentium" w:eastAsia="Gentium" w:cs="Gentium"/>
          <w:i/>
          <w:iCs/>
          <w:sz w:val="24"/>
          <w:szCs w:val="24"/>
        </w:rPr>
        <w:t xml:space="preserve">From Symposium to Eucharist: The Banquet in the Early Christian World</w:t>
      </w:r>
      <w:r>
        <w:rPr>
          <w:rFonts w:ascii="Gentium" w:hAnsi="Gentium" w:eastAsia="Gentium" w:cs="Gentium"/>
          <w:sz w:val="24"/>
          <w:szCs w:val="24"/>
        </w:rPr>
        <w:t xml:space="preserve">. Minneapolis, Minn.: Augsburg Fortress Press, 2009.</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Outlines methodological issues before analyzing the form and organization of the Graeco-Roman banquet. Smith provides detailed descriptions of the various types of meal occasions in the</w:t>
      </w:r>
      <w:r>
        <w:rPr>
          <w:rFonts w:ascii="Gentium" w:hAnsi="Gentium" w:eastAsia="Gentium" w:cs="Gentium"/>
          <w:sz w:val="24"/>
          <w:szCs w:val="24"/>
        </w:rPr>
        <w:t xml:space="preserve"> ancient world (philosophical, sacrificial/religious, club banquets before turning to Jewish banquets covering Ben Sira, rabbinic literature, separatist groups, and the messianic banquet), looking also at their representation in early Christian literature.</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37"/>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Taussig, Hal. </w:t>
      </w:r>
      <w:r>
        <w:rPr>
          <w:rFonts w:ascii="Gentium" w:hAnsi="Gentium" w:eastAsia="Gentium" w:cs="Gentium"/>
          <w:i/>
          <w:iCs/>
          <w:sz w:val="24"/>
          <w:szCs w:val="24"/>
        </w:rPr>
        <w:t xml:space="preserve">In the Beginning Was the Meal: Social Experimentation &amp; Early Christian Identity</w:t>
      </w:r>
      <w:r>
        <w:rPr>
          <w:rFonts w:ascii="Gentium" w:hAnsi="Gentium" w:eastAsia="Gentium" w:cs="Gentium"/>
          <w:sz w:val="24"/>
          <w:szCs w:val="24"/>
        </w:rPr>
        <w:t xml:space="preserve">. Minneapolis, Minn.: Fortress Press, 2009.</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Taussig uses social theory, especially ritual and performance theory, to interpret early Christian meals socially and to relate them to theories of Christian origins and identity formation. He explores the social i</w:t>
      </w:r>
      <w:r>
        <w:rPr>
          <w:rFonts w:ascii="Gentium" w:hAnsi="Gentium" w:eastAsia="Gentium" w:cs="Gentium"/>
          <w:sz w:val="24"/>
          <w:szCs w:val="24"/>
        </w:rPr>
        <w:t xml:space="preserve">nnovation represented by early Christian meals and their function in the rapid spread of Christianity as well as sites of resistance to the Roman Empire. He considers the intersections between early Christian literature and Graeco-Roman meal celebrations. </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eastAsia="Gentium" w:cs="Gentium"/>
          <w:sz w:val="24"/>
          <w:szCs w:val="24"/>
        </w:rPr>
        <w:t xml:space="preserve">Smith, Dennis Edwin, and Hal Taussig, eds. </w:t>
      </w:r>
      <w:r>
        <w:rPr>
          <w:rFonts w:ascii="Gentium" w:hAnsi="Gentium" w:eastAsia="Gentium" w:cs="Gentium"/>
          <w:i/>
          <w:iCs/>
          <w:sz w:val="24"/>
          <w:szCs w:val="24"/>
        </w:rPr>
        <w:t xml:space="preserve">Meals in the Early Christian World: Social Formation, Experimentation, and Conflict at the Table</w:t>
      </w:r>
      <w:r>
        <w:rPr>
          <w:rFonts w:ascii="Gentium" w:hAnsi="Gentium" w:eastAsia="Gentium" w:cs="Gentium"/>
          <w:sz w:val="24"/>
          <w:szCs w:val="24"/>
        </w:rPr>
        <w:t xml:space="preserve">. New York, N.Y.: Palgrave Macmillan, 2012.</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Contains critical essays on social aspects of Graeco-Roman meals focusing on the typology of the Graeco-Roman banquet as social in</w:t>
      </w:r>
      <w:r>
        <w:rPr>
          <w:rFonts w:ascii="Gentium" w:hAnsi="Gentium" w:eastAsia="Gentium" w:cs="Gentium"/>
          <w:sz w:val="24"/>
          <w:szCs w:val="24"/>
        </w:rPr>
        <w:t xml:space="preserve">stitution and its archaeology. Also highlighted are the social make-up, social values, and attendance with respect to banquets, female attendance, slaves at meals, Saturnalia and social role inversions, as well as issues regarding the culture of reclining.</w:t>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bookmarkStart w:id="35" w:name="_Toc414386079"/>
      <w:r>
        <w:rPr>
          <w:rFonts w:ascii="Gentium" w:hAnsi="Gentium" w:eastAsia="Gentium" w:cs="Gentium"/>
        </w:rPr>
        <w:t xml:space="preserve">Early Christian Cult of Saints, Pilgrimages and Holy Places</w:t>
      </w:r>
      <w:bookmarkEnd w:id="35"/>
      <w:r>
        <w:rPr>
          <w:rFonts w:ascii="Gentium" w:hAnsi="Gentium" w:cs="Gentium"/>
        </w:rPr>
      </w:r>
      <w:r>
        <w:rPr>
          <w:rFonts w:ascii="Gentium" w:hAnsi="Gentium" w:cs="Gentium"/>
        </w:rPr>
      </w:r>
    </w:p>
    <w:p>
      <w:pPr>
        <w:pStyle w:val="1016"/>
        <w:pBdr/>
        <w:spacing w:after="0" w:afterAutospacing="0" w:before="240" w:beforeAutospacing="0"/>
        <w:ind/>
        <w:jc w:val="both"/>
        <w:rPr>
          <w:rFonts w:ascii="Gentium" w:hAnsi="Gentium" w:eastAsia="Gentium" w:cs="Gentium"/>
          <w:iCs/>
        </w:rPr>
      </w:pPr>
      <w:r>
        <w:rPr>
          <w:rFonts w:ascii="Gentium" w:hAnsi="Gentium" w:eastAsia="Gentium" w:cs="Gentium"/>
        </w:rPr>
        <w:t xml:space="preserve">Brown (</w:t>
      </w:r>
      <w:r>
        <w:rPr>
          <w:rFonts w:ascii="Gentium" w:hAnsi="Gentium" w:eastAsia="Gentium" w:cs="Gentium"/>
          <w:i/>
          <w:iCs/>
        </w:rPr>
        <w:t xml:space="preserve">Through the Eye of a Needle</w:t>
      </w:r>
      <w:r>
        <w:rPr>
          <w:rFonts w:ascii="Gentium" w:hAnsi="Gentium" w:eastAsia="Gentium" w:cs="Gentium"/>
          <w:iCs/>
        </w:rPr>
        <w:t xml:space="preserve">) treats the important feature of Christian attitudes to </w:t>
      </w:r>
      <w:r>
        <w:rPr>
          <w:rFonts w:ascii="Gentium" w:hAnsi="Gentium" w:eastAsia="Gentium" w:cs="Gentium"/>
          <w:iCs/>
        </w:rPr>
        <w:t xml:space="preserve">wealth in the later Roman Empire. He shows how the dominant ideology of negative valuation of wealth gives way to positive valuations as the empire becomes Christian, yet some critique of wealth and positive valuation of poverty and renunciation remained. </w:t>
      </w:r>
      <w:r>
        <w:rPr>
          <w:rFonts w:ascii="Gentium" w:hAnsi="Gentium" w:eastAsia="Gentium" w:cs="Gentium"/>
          <w:iCs/>
        </w:rPr>
      </w:r>
      <w:r>
        <w:rPr>
          <w:rFonts w:ascii="Gentium" w:hAnsi="Gentium" w:eastAsia="Gentium" w:cs="Gentium"/>
          <w:iCs/>
        </w:rPr>
      </w:r>
    </w:p>
    <w:p>
      <w:pPr>
        <w:pStyle w:val="1016"/>
        <w:pBdr/>
        <w:spacing w:after="0" w:afterAutospacing="0" w:before="240" w:beforeAutospacing="0"/>
        <w:ind/>
        <w:jc w:val="both"/>
        <w:rPr>
          <w:rFonts w:ascii="Gentium" w:hAnsi="Gentium" w:eastAsia="Gentium" w:cs="Gentium"/>
        </w:rPr>
      </w:pPr>
      <w:r>
        <w:rPr>
          <w:rFonts w:ascii="Gentium" w:hAnsi="Gentium" w:eastAsia="Gentium" w:cs="Gentium"/>
          <w:iCs/>
        </w:rPr>
        <w:t xml:space="preserve">Brown (</w:t>
      </w:r>
      <w:r>
        <w:rPr>
          <w:rFonts w:ascii="Gentium" w:hAnsi="Gentium" w:eastAsia="Gentium" w:cs="Gentium"/>
          <w:i/>
          <w:iCs/>
        </w:rPr>
        <w:t xml:space="preserve">Society and the Holy</w:t>
      </w:r>
      <w:r>
        <w:rPr>
          <w:rFonts w:ascii="Gentium" w:hAnsi="Gentium" w:eastAsia="Gentium" w:cs="Gentium"/>
          <w:iCs/>
        </w:rPr>
        <w:t xml:space="preserve">) and Brown (</w:t>
      </w:r>
      <w:r>
        <w:rPr>
          <w:rFonts w:ascii="Gentium" w:hAnsi="Gentium" w:eastAsia="Gentium" w:cs="Gentium"/>
          <w:i/>
          <w:iCs/>
        </w:rPr>
        <w:t xml:space="preserve">Cult of Saints</w:t>
      </w:r>
      <w:r>
        <w:rPr>
          <w:rFonts w:ascii="Gentium" w:hAnsi="Gentium" w:eastAsia="Gentium" w:cs="Gentium"/>
          <w:iCs/>
        </w:rPr>
        <w:t xml:space="preserve">) are classic works on alternative systems of divine mediation alongside official Christian theology and practice.</w:t>
      </w:r>
      <w:r>
        <w:rPr>
          <w:rFonts w:ascii="Gentium" w:hAnsi="Gentium" w:eastAsia="Gentium" w:cs="Gentium"/>
          <w:iCs/>
        </w:rPr>
        <w:t xml:space="preserve"> Treating wide-ranging case studies Brown shows how the holy was redefined in later Antiquity and focused on the proximity with humans who embodied the divine and exerted influence on human societies and individuals, in effect, often in place of gods/God. </w:t>
      </w:r>
      <w:r>
        <w:rPr>
          <w:rFonts w:ascii="Gentium" w:hAnsi="Gentium" w:eastAsia="Gentium" w:cs="Gentium"/>
        </w:rPr>
      </w:r>
      <w:r>
        <w:rPr>
          <w:rFonts w:ascii="Gentium" w:hAnsi="Gentium" w:eastAsia="Gentium" w:cs="Gentium"/>
        </w:rPr>
      </w:r>
    </w:p>
    <w:p>
      <w:pPr>
        <w:pStyle w:val="1016"/>
        <w:pBdr/>
        <w:spacing w:after="0" w:afterAutospacing="0" w:before="240" w:beforeAutospacing="0"/>
        <w:ind/>
        <w:jc w:val="both"/>
        <w:rPr>
          <w:rFonts w:ascii="Gentium" w:hAnsi="Gentium" w:eastAsia="Gentium" w:cs="Gentium"/>
          <w:highlight w:val="none"/>
        </w:rPr>
      </w:pPr>
      <w:r>
        <w:rPr>
          <w:rFonts w:ascii="Gentium" w:hAnsi="Gentium" w:eastAsia="Gentium" w:cs="Gentium"/>
          <w:iCs/>
        </w:rPr>
        <w:t xml:space="preserve">Elsner and Rutherford provides a comprehensive analysis of “sacred mobility” or pilgrimage from the classical to the late Roman world. Wh</w:t>
      </w:r>
      <w:r>
        <w:rPr>
          <w:rFonts w:ascii="Gentium" w:hAnsi="Gentium" w:eastAsia="Gentium" w:cs="Gentium"/>
          <w:iCs/>
        </w:rPr>
        <w:t xml:space="preserve">ile the category of pilgrimage is a wide category, the focus is here on religious travel to sites of interaction with the divine, which interaction is also of varied character, and can profitably read in conjunction with some aspects of the cult of saints.</w:t>
      </w:r>
      <w:r>
        <w:rPr>
          <w:rFonts w:ascii="Gentium" w:hAnsi="Gentium" w:eastAsia="Gentium" w:cs="Gentium"/>
          <w:highlight w:val="none"/>
        </w:rPr>
      </w:r>
      <w:r>
        <w:rPr>
          <w:rFonts w:ascii="Gentium" w:hAnsi="Gentium" w:eastAsia="Gentium" w:cs="Gentium"/>
          <w:highlight w:val="none"/>
        </w:rPr>
      </w:r>
    </w:p>
    <w:p>
      <w:pPr>
        <w:pStyle w:val="1017"/>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eastAsia="Gentium" w:cs="Gentium"/>
          <w:sz w:val="24"/>
          <w:szCs w:val="24"/>
        </w:rPr>
        <w:t xml:space="preserve">Brown, Peter. </w:t>
      </w:r>
      <w:r>
        <w:rPr>
          <w:rFonts w:ascii="Gentium" w:hAnsi="Gentium" w:eastAsia="Gentium" w:cs="Gentium"/>
          <w:i/>
          <w:iCs/>
          <w:sz w:val="24"/>
          <w:szCs w:val="24"/>
        </w:rPr>
        <w:t xml:space="preserve">Through the Eye of a Needle: Wealth, the Fall of Rome, and the Making of Christianity in the West, 350-550 AD</w:t>
      </w:r>
      <w:r>
        <w:rPr>
          <w:rFonts w:ascii="Gentium" w:hAnsi="Gentium" w:eastAsia="Gentium" w:cs="Gentium"/>
          <w:sz w:val="24"/>
          <w:szCs w:val="24"/>
        </w:rPr>
        <w:t xml:space="preserve">. Princeton, N.J.: Princeton University Press, 2012.</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The volume concerns the social function of wealth in the ancient world and early Christian responses to it, particularly in Latin Christendom up to th</w:t>
      </w:r>
      <w:r>
        <w:rPr>
          <w:rFonts w:ascii="Gentium" w:hAnsi="Gentium" w:eastAsia="Gentium" w:cs="Gentium"/>
          <w:sz w:val="24"/>
          <w:szCs w:val="24"/>
        </w:rPr>
        <w:t xml:space="preserve">e end of the Roman Empire, with an attendant focus on the affluent nobility in fourth-century Rome and the interaction of Christian writers with wealth and how it was inscribed in new patterns of patronage, as well as traditions of renunciation of wealth. </w:t>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eastAsia="Gentium" w:cs="Gentium"/>
          <w:sz w:val="24"/>
          <w:szCs w:val="24"/>
        </w:rPr>
        <w:t xml:space="preserve">Brown, Peter Robert Lamont. </w:t>
      </w:r>
      <w:r>
        <w:rPr>
          <w:rFonts w:ascii="Gentium" w:hAnsi="Gentium" w:eastAsia="Gentium" w:cs="Gentium"/>
          <w:i/>
          <w:iCs/>
          <w:sz w:val="24"/>
          <w:szCs w:val="24"/>
        </w:rPr>
        <w:t xml:space="preserve">Society and the Holy in Late Antiquity</w:t>
      </w:r>
      <w:r>
        <w:rPr>
          <w:rFonts w:ascii="Gentium" w:hAnsi="Gentium" w:eastAsia="Gentium" w:cs="Gentium"/>
          <w:sz w:val="24"/>
          <w:szCs w:val="24"/>
        </w:rPr>
        <w:t xml:space="preserve">. Berkeley and Los Angeles, Calif: University of California Press, 1982.</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Collection of essays of which Part one (“Approaches”) deals with scholarship on the holy, culture, and society; Part two (“Socie</w:t>
      </w:r>
      <w:r>
        <w:rPr>
          <w:rFonts w:ascii="Gentium" w:hAnsi="Gentium" w:eastAsia="Gentium" w:cs="Gentium"/>
          <w:sz w:val="24"/>
          <w:szCs w:val="24"/>
        </w:rPr>
        <w:t xml:space="preserve">ty and the Holy”) contains a number of well-known, acclaimed, and now classical studies on the holy, holy men and saints, their cults in various settings and geographic locales, and contestations surrounding the material attestations of the cult of saints.</w:t>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Brown, Peter Robert Lamont. </w:t>
      </w:r>
      <w:r>
        <w:rPr>
          <w:rFonts w:ascii="Gentium" w:hAnsi="Gentium" w:eastAsia="Gentium" w:cs="Gentium"/>
          <w:i/>
          <w:iCs/>
        </w:rPr>
        <w:t xml:space="preserve">The Cult of the Saints: Its Rise and Function in Latin Christianity</w:t>
      </w:r>
      <w:r>
        <w:rPr>
          <w:rFonts w:ascii="Gentium" w:hAnsi="Gentium" w:eastAsia="Gentium" w:cs="Gentium"/>
        </w:rPr>
        <w:t xml:space="preserve">. Chicago: University of Chicago Press, 1981.</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A classic book that deals with the cult shrine</w:t>
      </w:r>
      <w:r>
        <w:rPr>
          <w:rFonts w:ascii="Gentium" w:hAnsi="Gentium" w:eastAsia="Gentium" w:cs="Gentium"/>
        </w:rPr>
        <w:t xml:space="preserve">s of saints; the cults and practices relating to the veneration of saints; their place and function in the Christian imagination and religious conceptuality; the experiences of their presence in relics and miracles and power exercised through their agency.</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Elsner, Jaś, and Ian Rutherford, eds. </w:t>
      </w:r>
      <w:r>
        <w:rPr>
          <w:rFonts w:ascii="Gentium" w:hAnsi="Gentium" w:eastAsia="Gentium" w:cs="Gentium"/>
          <w:i/>
          <w:iCs/>
        </w:rPr>
        <w:t xml:space="preserve">Pilgrimage in Graeco-Roman &amp; Early Christian Antiquity: Seeing the Gods</w:t>
      </w:r>
      <w:r>
        <w:rPr>
          <w:rFonts w:ascii="Gentium" w:hAnsi="Gentium" w:eastAsia="Gentium" w:cs="Gentium"/>
        </w:rPr>
        <w:t xml:space="preserve">. Oxford; New York, N.Y.: Oxford University Press, 2005.</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Introduction on problems of definition, categorization and desc</w:t>
      </w:r>
      <w:r>
        <w:rPr>
          <w:rFonts w:ascii="Gentium" w:hAnsi="Gentium" w:eastAsia="Gentium" w:cs="Gentium"/>
        </w:rPr>
        <w:t xml:space="preserve">ription of pilgrimage and sacred mobility; Part one is on various instances of pilgrimage in the classical and Hellenistic world; Part two deals with sacred mobility in the Roman Empire; Part three treats manifestations of Jewish and Christian pilgrimages.</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rPr>
          <w:rFonts w:ascii="Gentium" w:hAnsi="Gentium" w:eastAsia="Gentium" w:cs="Gentium"/>
        </w:rPr>
        <w:tab/>
      </w:r>
      <w:bookmarkStart w:id="36" w:name="_Toc414386080"/>
      <w:r>
        <w:rPr>
          <w:rFonts w:ascii="Gentium" w:hAnsi="Gentium" w:eastAsia="Gentium" w:cs="Gentium"/>
        </w:rPr>
        <w:t xml:space="preserve">Early Christian Families</w:t>
      </w:r>
      <w:bookmarkEnd w:id="36"/>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eastAsia="Gentium" w:cs="Gentium"/>
        </w:rPr>
        <w:t xml:space="preserve">Early Christian households and families are also treated in other sections, as are issues relatin</w:t>
      </w:r>
      <w:r>
        <w:rPr>
          <w:rFonts w:ascii="Gentium" w:hAnsi="Gentium" w:eastAsia="Gentium" w:cs="Gentium"/>
        </w:rPr>
        <w:t xml:space="preserve">g to women in early Christianity. Balch and Osiek, eds., is a more concrete and material construction of the situation of early Christian families and the dynamics of complex interrelations playing out in the context of their situatedness in Roman society.</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lang w:val="en-ZA"/>
        </w:rPr>
        <w:t xml:space="preserve">Balch, David L., and Carolyn A. Osiek, eds. </w:t>
      </w:r>
      <w:r>
        <w:rPr>
          <w:rFonts w:ascii="Gentium" w:hAnsi="Gentium" w:eastAsia="Gentium" w:cs="Gentium"/>
          <w:i/>
          <w:iCs/>
        </w:rPr>
        <w:t xml:space="preserve">Early Christian Families in Context: An Interdisciplinary Dialogue</w:t>
      </w:r>
      <w:r>
        <w:rPr>
          <w:rFonts w:ascii="Gentium" w:hAnsi="Gentium" w:eastAsia="Gentium" w:cs="Gentium"/>
        </w:rPr>
        <w:t xml:space="preserve">. Grand Rapids, Mich.; Cambridge, UK: Eerdmans, 2003.</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The book deals with the physical contexts of early Christian families, also as gendered spaces in the light of archaeology. The book explores domestic values of </w:t>
      </w:r>
      <w:r>
        <w:rPr>
          <w:rFonts w:ascii="Gentium" w:hAnsi="Gentium" w:eastAsia="Gentium" w:cs="Gentium"/>
        </w:rPr>
        <w:t xml:space="preserve">gender equality and suffering as well as aspects of women’s, children’s and slaves’ lives and family dynamics in the household context. The authors reflect on the significance of study of early Christian families for Christian theology and practice today. </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bookmarkStart w:id="37" w:name="_Toc414386081"/>
      <w:r>
        <w:rPr>
          <w:rFonts w:ascii="Gentium" w:hAnsi="Gentium" w:eastAsia="Gentium" w:cs="Gentium"/>
        </w:rPr>
        <w:t xml:space="preserve">Martyrdom</w:t>
      </w:r>
      <w:bookmarkEnd w:id="37"/>
      <w:r>
        <w:rPr>
          <w:rFonts w:ascii="Gentium" w:hAnsi="Gentium" w:eastAsia="Gentium" w:cs="Gentium"/>
        </w:rPr>
        <w:t xml:space="preserve"> </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In history and historiography of early Christianity martyrdom has been emphasized as an important facet of the promotion and growth of Christianity (although re</w:t>
      </w:r>
      <w:r>
        <w:rPr>
          <w:rFonts w:ascii="Gentium" w:hAnsi="Gentium" w:eastAsia="Gentium" w:cs="Gentium"/>
        </w:rPr>
        <w:t xml:space="preserve">cently Candida Moss downplayed the extent of Christian martyrdom as exaggerated). Martyrdom is not only a historical phenomenon, but as topic also intersects with body and gender discourses, so these works should be read in conjunction with other rubrics.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Bowersock is a descriptive overview of the history and effect of early Christian martyrdom, explaining why it is for the most part an urban phenomenon.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Boyarin uses martyrdom and martyr discourse as a</w:t>
      </w:r>
      <w:r>
        <w:rPr>
          <w:rFonts w:ascii="Gentium" w:hAnsi="Gentium" w:eastAsia="Gentium" w:cs="Gentium"/>
        </w:rPr>
        <w:t xml:space="preserve"> key to reconceptualize the formation of Judaism and Christianity, touching on the “parting of the ways” debate, arguing that both (Christianity being the elder born) arose from the complex interactions of Second Temple Judaisms with their Roman contexts.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Castelli shows how martyrdom served Christian collective memory and identity making, and how the lasting legacy of the idea of redemptive death carries on to this day in interpretation of violent deaths.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Cobb demonstrates the gendered nature of martyr discourse, it being a discourse predicated on masculine values, but with the prevalence of many exemplary female martyrs they are both masculinized and feminized so as to keep “them in their place”.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Moss (</w:t>
      </w:r>
      <w:r>
        <w:rPr>
          <w:rFonts w:ascii="Gentium" w:hAnsi="Gentium" w:eastAsia="Gentium" w:cs="Gentium"/>
          <w:i/>
        </w:rPr>
        <w:t xml:space="preserve">Ancient Christian Martyrdom</w:t>
      </w:r>
      <w:r>
        <w:rPr>
          <w:rFonts w:ascii="Gentium" w:hAnsi="Gentium" w:eastAsia="Gentium" w:cs="Gentium"/>
        </w:rPr>
        <w:t xml:space="preserve">) provides an overview of the distinctive shape of early Christian martyr discourses in five different contexts. In </w:t>
      </w:r>
      <w:r>
        <w:rPr>
          <w:rFonts w:ascii="Gentium" w:hAnsi="Gentium" w:eastAsia="Gentium" w:cs="Gentium"/>
          <w:i/>
        </w:rPr>
        <w:t xml:space="preserve">The Other Christs</w:t>
      </w:r>
      <w:r>
        <w:rPr>
          <w:rFonts w:ascii="Gentium" w:hAnsi="Gentium" w:eastAsia="Gentium" w:cs="Gentium"/>
        </w:rPr>
        <w:t xml:space="preserve"> Moss argues that martyrs functioned in a similar manner to holy men and saints in antiquity representing the proximity of the divine and its power, and by incorporation into Christ being extensions of Christ’s presence.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Perkins does not deal with martyrdom as such but analyzes the discourse of pain and suffering in the Graeco-Roman world and how this is recalibrated in early Christianity and provided a positive valorizing.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t xml:space="preserve">Van Henten and Avemarie is a sourcebook with selections of texts in translation on the noble death in Greek and Roman antiquity, Second Temple Judaism, early Christianity, and later rabbinic Judaism.</w:t>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Bowersock, Glen W. </w:t>
      </w:r>
      <w:r>
        <w:rPr>
          <w:rFonts w:ascii="Gentium" w:hAnsi="Gentium" w:eastAsia="Gentium" w:cs="Gentium"/>
          <w:i/>
          <w:iCs/>
          <w:sz w:val="24"/>
          <w:szCs w:val="24"/>
        </w:rPr>
        <w:t xml:space="preserve">Martyrdom and Rome</w:t>
      </w:r>
      <w:r>
        <w:rPr>
          <w:rFonts w:ascii="Gentium" w:hAnsi="Gentium" w:eastAsia="Gentium" w:cs="Gentium"/>
          <w:sz w:val="24"/>
          <w:szCs w:val="24"/>
        </w:rPr>
        <w:t xml:space="preserve">. Cambridge: Cambridge University Press, 1995.</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Four lectures on the origins and develo</w:t>
      </w:r>
      <w:r>
        <w:rPr>
          <w:rFonts w:ascii="Gentium" w:hAnsi="Gentium" w:eastAsia="Gentium" w:cs="Gentium"/>
          <w:sz w:val="24"/>
          <w:szCs w:val="24"/>
        </w:rPr>
        <w:t xml:space="preserve">pment of the phenomenon, from Hellenistic Judaism to early Christianity; the formation and function of the genre of martyrologies; the civic scenario of martyrdom, spectacles, urban settings and effect; voluntary martyrdoms as suicides. Four appendices on </w:t>
      </w:r>
      <w:r>
        <w:rPr>
          <w:rFonts w:ascii="Gentium" w:hAnsi="Gentium" w:eastAsia="Gentium" w:cs="Gentium"/>
          <w:sz w:val="24"/>
          <w:szCs w:val="24"/>
          <w:lang w:val="en-ZA" w:eastAsia="en-ZA"/>
        </w:rPr>
        <w:t xml:space="preserve">Protomartyr, Ignatius and 4 Maccabees, Great Sabbath, and Asia, Aphrodisias, and the Lyon </w:t>
      </w:r>
      <w:r>
        <w:rPr>
          <w:rFonts w:ascii="Gentium" w:hAnsi="Gentium" w:eastAsia="Gentium" w:cs="Gentium"/>
          <w:i/>
          <w:iCs/>
          <w:sz w:val="24"/>
          <w:szCs w:val="24"/>
          <w:lang w:val="en-ZA" w:eastAsia="en-ZA"/>
        </w:rPr>
        <w:t xml:space="preserve">Martyrium.</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eastAsia="Gentium" w:cs="Gentium"/>
          <w:sz w:val="24"/>
          <w:szCs w:val="24"/>
        </w:rPr>
        <w:t xml:space="preserve">Boyarin, Daniel. </w:t>
      </w:r>
      <w:r>
        <w:rPr>
          <w:rFonts w:ascii="Gentium" w:hAnsi="Gentium" w:eastAsia="Gentium" w:cs="Gentium"/>
          <w:i/>
          <w:iCs/>
          <w:sz w:val="24"/>
          <w:szCs w:val="24"/>
        </w:rPr>
        <w:t xml:space="preserve">Dying for God: Martyrdom and the Making of Christianity and Judaism</w:t>
      </w:r>
      <w:r>
        <w:rPr>
          <w:rFonts w:ascii="Gentium" w:hAnsi="Gentium" w:eastAsia="Gentium" w:cs="Gentium"/>
          <w:sz w:val="24"/>
          <w:szCs w:val="24"/>
        </w:rPr>
        <w:t xml:space="preserve">. Figurae: Reading Medieval Culture. Stanford, Calif.: Stanford University Press, 1999.</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Boyarin questions the conventional picture of the relation of Judaism and Christianity along the Stammbaum model, instead working out the “wave model” of complex intersections. This is illuminated by case studies of martyr narratives</w:t>
      </w:r>
      <w:r>
        <w:rPr>
          <w:rFonts w:ascii="Gentium" w:hAnsi="Gentium" w:eastAsia="Gentium" w:cs="Gentium"/>
          <w:sz w:val="24"/>
          <w:szCs w:val="24"/>
          <w:lang w:val="en-ZA" w:eastAsia="en-ZA"/>
        </w:rPr>
        <w:t xml:space="preserve"> showing the continued entanglements of nascent Judaism and Christianity and the role of martyrdom discourse in shaping both Judaism and Christianity as distinctive traditions but with permeability of the boundaries.</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Castelli, Elizabeth A. </w:t>
      </w:r>
      <w:r>
        <w:rPr>
          <w:rFonts w:ascii="Gentium" w:hAnsi="Gentium" w:eastAsia="Gentium" w:cs="Gentium"/>
          <w:i/>
          <w:iCs/>
          <w:sz w:val="24"/>
          <w:szCs w:val="24"/>
        </w:rPr>
        <w:t xml:space="preserve">Martyrdom and Memory: Early Christian Culture Making</w:t>
      </w:r>
      <w:r>
        <w:rPr>
          <w:rFonts w:ascii="Gentium" w:hAnsi="Gentium" w:eastAsia="Gentium" w:cs="Gentium"/>
          <w:sz w:val="24"/>
          <w:szCs w:val="24"/>
        </w:rPr>
        <w:t xml:space="preserve">. Gender, Theory, and Religion. New York, N.Y.; Chichester: Columbia University Press, 2004.</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Castelli highlights collective memory and the making of </w:t>
      </w:r>
      <w:r>
        <w:rPr>
          <w:rFonts w:ascii="Gentium" w:hAnsi="Gentium" w:eastAsia="Gentium" w:cs="Gentium"/>
          <w:sz w:val="24"/>
          <w:szCs w:val="24"/>
        </w:rPr>
        <w:t xml:space="preserve">the past as frame for understanding techniques and concepts employed to manufacture Christian martyrdom as the mirror of Roman imperial domination. Case studies demonstrate the culturally productive and socially formative nature of martyr narratives. She c</w:t>
      </w:r>
      <w:r>
        <w:rPr>
          <w:rFonts w:ascii="Gentium" w:hAnsi="Gentium" w:eastAsia="Gentium" w:cs="Gentium"/>
          <w:sz w:val="24"/>
          <w:szCs w:val="24"/>
          <w:shd w:val="clear" w:color="auto" w:fill="ffffff"/>
        </w:rPr>
        <w:t xml:space="preserve">oncludes with a study of the massacre at Columbine High and the making of a redemptive narrative.</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Cobb, L. Stephanie. </w:t>
      </w:r>
      <w:r>
        <w:rPr>
          <w:rFonts w:ascii="Gentium" w:hAnsi="Gentium" w:eastAsia="Gentium" w:cs="Gentium"/>
          <w:i/>
          <w:iCs/>
          <w:sz w:val="24"/>
          <w:szCs w:val="24"/>
        </w:rPr>
        <w:t xml:space="preserve">Dying to Be Men. Gender and Language in Early Christian Martyr Texts</w:t>
      </w:r>
      <w:r>
        <w:rPr>
          <w:rFonts w:ascii="Gentium" w:hAnsi="Gentium" w:eastAsia="Gentium" w:cs="Gentium"/>
          <w:sz w:val="24"/>
          <w:szCs w:val="24"/>
        </w:rPr>
        <w:t xml:space="preserve">. Gender, Theory, and Religion. New York, N.Y.; Chichester: Columbia University Press, 2008. </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Introduces identity construction, the making of Christian identities in the Roman world, and cultural appropriation of masculine ideals. In the construction of Christian social identities gladiatorial, athle</w:t>
      </w:r>
      <w:r>
        <w:rPr>
          <w:rFonts w:ascii="Gentium" w:hAnsi="Gentium" w:eastAsia="Gentium" w:cs="Gentium"/>
          <w:sz w:val="24"/>
          <w:szCs w:val="24"/>
        </w:rPr>
        <w:t xml:space="preserve">tic, and martial imagery in martyr acts were appropriated. She shows the masculinization of martyrdom as demonstration of virtue and the simultaneous masculinization and feminization of female martyrs. Conclusion on gender and language in the martyr texts.</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Moss, Candida R. </w:t>
      </w:r>
      <w:r>
        <w:rPr>
          <w:rFonts w:ascii="Gentium" w:hAnsi="Gentium" w:eastAsia="Gentium" w:cs="Gentium"/>
          <w:i/>
          <w:iCs/>
          <w:sz w:val="24"/>
          <w:szCs w:val="24"/>
        </w:rPr>
        <w:t xml:space="preserve">Ancient Christian Martyrdom: Diverse Practices, Theologies, and Traditions</w:t>
      </w:r>
      <w:r>
        <w:rPr>
          <w:rFonts w:ascii="Gentium" w:hAnsi="Gentium" w:eastAsia="Gentium" w:cs="Gentium"/>
          <w:sz w:val="24"/>
          <w:szCs w:val="24"/>
        </w:rPr>
        <w:t xml:space="preserve">. Anchor Yale Bible Reference Library. New Haven, Conn.; London: Yale University Press, 2012.</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Introduction on the difficulties of defining and understanding martyrdom; overview of the cultural contexts of marty</w:t>
      </w:r>
      <w:r>
        <w:rPr>
          <w:rFonts w:ascii="Gentium" w:hAnsi="Gentium" w:eastAsia="Gentium" w:cs="Gentium"/>
          <w:sz w:val="24"/>
          <w:szCs w:val="24"/>
        </w:rPr>
        <w:t xml:space="preserve">rdom, perceptions of death in the Graeco-Roman world; five studies on different interpretations of martyrdom in Asia Minor (imitating Christ), North Africa (apocalyptic ascent), Rome (contesting philosophy), Gaul (victory), and Alexandria (true martyrdom).</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Moss, Candida R. </w:t>
      </w:r>
      <w:r>
        <w:rPr>
          <w:rFonts w:ascii="Gentium" w:hAnsi="Gentium" w:eastAsia="Gentium" w:cs="Gentium"/>
          <w:i/>
          <w:iCs/>
          <w:sz w:val="24"/>
          <w:szCs w:val="24"/>
        </w:rPr>
        <w:t xml:space="preserve">The Other Christs: Imitating Jesus in Ancient Christian Ideologies of Martyrdom</w:t>
      </w:r>
      <w:r>
        <w:rPr>
          <w:rFonts w:ascii="Gentium" w:hAnsi="Gentium" w:eastAsia="Gentium" w:cs="Gentium"/>
          <w:sz w:val="24"/>
          <w:szCs w:val="24"/>
        </w:rPr>
        <w:t xml:space="preserve">. Oxford; New York, N.Y.: Oxford University Press, 2012.</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Moss argues for the isotypy of martyrdom as imitation of Christ; participation in Christ’s suffering; the martyr as a kind of Christ; martyr as a saviour figure; the heaven of the martyrs; martyr as divine heir.</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Perkins, Judith. </w:t>
      </w:r>
      <w:r>
        <w:rPr>
          <w:rFonts w:ascii="Gentium" w:hAnsi="Gentium" w:eastAsia="Gentium" w:cs="Gentium"/>
          <w:i/>
          <w:iCs/>
          <w:sz w:val="24"/>
          <w:szCs w:val="24"/>
        </w:rPr>
        <w:t xml:space="preserve">The Suffering Self: Pain and Narrative Representation in the Early Christian Era</w:t>
      </w:r>
      <w:r>
        <w:rPr>
          <w:rFonts w:ascii="Gentium" w:hAnsi="Gentium" w:eastAsia="Gentium" w:cs="Gentium"/>
          <w:sz w:val="24"/>
          <w:szCs w:val="24"/>
        </w:rPr>
        <w:t xml:space="preserve">. London; New York, N.Y.: Routledge, 1995.</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Perkins surveys various perceptions of death and suffering in the Graeco-Roman world: the perceptions of death as happy ending; on marriage as happy ending; the Stoic </w:t>
      </w:r>
      <w:r>
        <w:rPr>
          <w:rFonts w:ascii="Gentium" w:hAnsi="Gentium" w:eastAsia="Gentium" w:cs="Gentium"/>
          <w:sz w:val="24"/>
          <w:szCs w:val="24"/>
        </w:rPr>
        <w:t xml:space="preserve">interpretation of pain and suffering; the martyr acts as subversive texts.  She argues that Christian apocryphal literature witnesses to new social consciousness and constructions of new sites of power. Argues for the body as site of new social ideologies.</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Van Henten, Jan Willem, and Friedrich Avemarie. </w:t>
      </w:r>
      <w:r>
        <w:rPr>
          <w:rFonts w:ascii="Gentium" w:hAnsi="Gentium" w:eastAsia="Gentium" w:cs="Gentium"/>
          <w:i/>
          <w:iCs/>
          <w:sz w:val="24"/>
          <w:szCs w:val="24"/>
        </w:rPr>
        <w:t xml:space="preserve">Martyrdom and Noble Death: Selected Texts from Graeco-Roman, Jewish, and Christian Antiquity</w:t>
      </w:r>
      <w:r>
        <w:rPr>
          <w:rFonts w:ascii="Gentium" w:hAnsi="Gentium" w:eastAsia="Gentium" w:cs="Gentium"/>
          <w:sz w:val="24"/>
          <w:szCs w:val="24"/>
        </w:rPr>
        <w:t xml:space="preserve">. London; New York, N.Y.: Routledge, 2002.</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Sourcebook of noble death traditions: introduction on the concept of noble death in antiquity as model for Ch</w:t>
      </w:r>
      <w:r>
        <w:rPr>
          <w:rFonts w:ascii="Gentium" w:hAnsi="Gentium" w:eastAsia="Gentium" w:cs="Gentium"/>
          <w:sz w:val="24"/>
          <w:szCs w:val="24"/>
        </w:rPr>
        <w:t xml:space="preserve">ristian and rabbinic understandings of martyrdom; selected texts on noble death in Greek and Roman antiquity, in early Jewish sources, Christian literature on martyrdom from the first to third century C.E., martyrdom and noble death in rabbinic literature.</w:t>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right="0" w:firstLine="0"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bookmarkStart w:id="38" w:name="_Toc414386082"/>
      <w:r>
        <w:rPr>
          <w:rFonts w:ascii="Gentium" w:hAnsi="Gentium" w:eastAsia="Gentium" w:cs="Gentium"/>
        </w:rPr>
        <w:t xml:space="preserve">Early Christian Body and Gender Discourse</w:t>
      </w:r>
      <w:bookmarkEnd w:id="38"/>
      <w:r>
        <w:rPr>
          <w:rFonts w:ascii="Gentium" w:hAnsi="Gentium" w:cs="Gentium"/>
        </w:rPr>
      </w:r>
      <w:r>
        <w:rPr>
          <w:rFonts w:ascii="Gentium" w:hAnsi="Gentium" w:cs="Gentium"/>
        </w:rPr>
      </w:r>
    </w:p>
    <w:p>
      <w:pPr>
        <w:pStyle w:val="1016"/>
        <w:pBdr/>
        <w:spacing w:after="0" w:afterAutospacing="0" w:before="0" w:beforeAutospacing="0"/>
        <w:ind w:right="0" w:firstLine="720" w:left="0"/>
        <w:jc w:val="both"/>
        <w:rPr>
          <w:rFonts w:ascii="Gentium" w:hAnsi="Gentium" w:cs="Gentium"/>
          <w:i/>
        </w:rPr>
      </w:pPr>
      <w:r>
        <w:rPr>
          <w:rFonts w:ascii="Gentium" w:hAnsi="Gentium" w:cs="Gentium"/>
          <w:i/>
        </w:rPr>
      </w:r>
      <w:r>
        <w:rPr>
          <w:rFonts w:ascii="Gentium" w:hAnsi="Gentium" w:cs="Gentium"/>
          <w:i/>
        </w:rPr>
      </w:r>
      <w:r>
        <w:rPr>
          <w:rFonts w:ascii="Gentium" w:hAnsi="Gentium" w:cs="Gentium"/>
          <w:i/>
        </w:rPr>
      </w:r>
    </w:p>
    <w:p>
      <w:pPr>
        <w:pStyle w:val="1016"/>
        <w:pBdr/>
        <w:spacing w:after="0" w:afterAutospacing="0" w:before="0" w:beforeAutospacing="0"/>
        <w:ind/>
        <w:jc w:val="both"/>
        <w:rPr>
          <w:rFonts w:ascii="Gentium" w:hAnsi="Gentium" w:cs="Gentium"/>
          <w:i/>
        </w:rPr>
      </w:pPr>
      <w:r>
        <w:rPr>
          <w:rFonts w:ascii="Gentium" w:hAnsi="Gentium" w:eastAsia="Gentium" w:cs="Gentium"/>
        </w:rPr>
        <w:t xml:space="preserve">One of the most prominent focuses of recent theory is the role of body and gender dis</w:t>
      </w:r>
      <w:r>
        <w:rPr>
          <w:rFonts w:ascii="Gentium" w:hAnsi="Gentium" w:eastAsia="Gentium" w:cs="Gentium"/>
        </w:rPr>
        <w:t xml:space="preserve">course as sites of construction of knowledge and power. The pervasiveness of body and gender in early Christian discourses is now a productive key to analyzing and understanding the cultural history of Christian origins. A core assumption is the social loc</w:t>
      </w:r>
      <w:r>
        <w:rPr>
          <w:rFonts w:ascii="Gentium" w:hAnsi="Gentium" w:eastAsia="Gentium" w:cs="Gentium"/>
        </w:rPr>
        <w:t xml:space="preserve">ation is known in the body. The cultural turn in Late Ancient Studies implies the study of historiography as rhetorical and social discourse, gender and body languages as important arenas for the contest of power and authority, such is the argument of Mart</w:t>
      </w:r>
      <w:r>
        <w:rPr>
          <w:rFonts w:ascii="Gentium" w:hAnsi="Gentium" w:eastAsia="Gentium" w:cs="Gentium"/>
        </w:rPr>
        <w:t xml:space="preserve">in and Cox Miller, eds. Brown is perhaps the classical work on the body as central focus in the making of Christian discourse, showing how early Christian discourse was essentially a body discourse and how the body is a socially productive agency. Glancy (</w:t>
      </w:r>
      <w:r>
        <w:rPr>
          <w:rFonts w:ascii="Gentium" w:hAnsi="Gentium" w:eastAsia="Gentium" w:cs="Gentium"/>
          <w:i/>
        </w:rPr>
        <w:t xml:space="preserve">Corporal Knowledge</w:t>
      </w:r>
      <w:r>
        <w:rPr>
          <w:rFonts w:ascii="Gentium" w:hAnsi="Gentium" w:eastAsia="Gentium" w:cs="Gentium"/>
        </w:rPr>
        <w:t xml:space="preserve">) argues that cultural habituation of bodies cause</w:t>
      </w:r>
      <w:r>
        <w:rPr>
          <w:rFonts w:ascii="Gentium" w:hAnsi="Gentium" w:eastAsia="Gentium" w:cs="Gentium"/>
        </w:rPr>
        <w:t xml:space="preserve">d Christians of the first centuries to replicate hierarchical patterns of social relations prevalent in the Roman Empire By framing questions about the function of corporal epistemology, Glancy offers new insights into bodies, identities, and early Christi</w:t>
      </w:r>
      <w:r>
        <w:rPr>
          <w:rFonts w:ascii="Gentium" w:hAnsi="Gentium" w:eastAsia="Gentium" w:cs="Gentium"/>
        </w:rPr>
        <w:t xml:space="preserve">an understandings of what it means to be human. Leyerle argues that early Christian attitudes to sexuality were shaped by reacting to those cultural institutions that transmitted social values and discourses like ancient theatres and performances. Glancy (</w:t>
      </w:r>
      <w:r>
        <w:rPr>
          <w:rFonts w:ascii="Gentium" w:hAnsi="Gentium" w:eastAsia="Gentium" w:cs="Gentium"/>
          <w:i/>
        </w:rPr>
        <w:t xml:space="preserve">Slavery</w:t>
      </w:r>
      <w:r>
        <w:rPr>
          <w:rFonts w:ascii="Gentium" w:hAnsi="Gentium" w:eastAsia="Gentium" w:cs="Gentium"/>
        </w:rPr>
        <w:t xml:space="preserve">) focuses on dominated and controlled bodies as key characteristic of both the ancient world and as core metaphor for Christian discourse making. Not only did slavery persist inside Christian communities bu</w:t>
      </w:r>
      <w:r>
        <w:rPr>
          <w:rFonts w:ascii="Gentium" w:hAnsi="Gentium" w:eastAsia="Gentium" w:cs="Gentium"/>
        </w:rPr>
        <w:t xml:space="preserve">t it also functioned as a model in Christian thinking and practice of disciplining bodies. Harrill is a detailed study of the phenomenon of slavery in the ancient world and early Christian attitudes to it, as well as the pervasive practice of manumission, </w:t>
      </w:r>
      <w:r>
        <w:rPr>
          <w:rFonts w:ascii="Gentium" w:hAnsi="Gentium" w:eastAsia="Gentium" w:cs="Gentium"/>
        </w:rPr>
        <w:t xml:space="preserve">and practices of freeing slaves in early Christianity. An important facet of body discourse was that of bodily renunciation. Elm shows the development of ascetic discourse and practice with reference to two important settings, namely Asia Minor and Egypt. </w:t>
      </w:r>
      <w:r>
        <w:rPr>
          <w:rFonts w:ascii="Gentium" w:hAnsi="Gentium" w:eastAsia="Gentium" w:cs="Gentium"/>
          <w:lang w:val="en-ZA"/>
        </w:rPr>
        <w:t xml:space="preserve">Schüssler Fiorenza and Nasrallah, eds., reflect on how </w:t>
      </w:r>
      <w:r>
        <w:rPr>
          <w:rFonts w:ascii="Gentium" w:hAnsi="Gentium" w:eastAsia="Gentium" w:cs="Gentium"/>
        </w:rPr>
        <w:t xml:space="preserve">race, gender, status, and ethnicity continue to constitute key categories for theorizing early Christian origins but also how they shaped, inflected, and informed scholarship on early Christianity.</w:t>
      </w:r>
      <w:r>
        <w:rPr>
          <w:rFonts w:ascii="Gentium" w:hAnsi="Gentium" w:cs="Gentium"/>
          <w:i/>
        </w:rPr>
      </w:r>
      <w:r>
        <w:rPr>
          <w:rFonts w:ascii="Gentium" w:hAnsi="Gentium" w:cs="Gentium"/>
          <w:i/>
        </w:rPr>
      </w:r>
    </w:p>
    <w:p>
      <w:pPr>
        <w:pStyle w:val="1016"/>
        <w:pBdr/>
        <w:spacing w:after="0" w:afterAutospacing="0" w:before="0" w:beforeAutospacing="0"/>
        <w:ind/>
        <w:jc w:val="both"/>
        <w:rPr>
          <w:rFonts w:ascii="Gentium" w:hAnsi="Gentium" w:cs="Gentium"/>
          <w:i/>
        </w:rPr>
      </w:pPr>
      <w:r>
        <w:rPr>
          <w:rFonts w:ascii="Gentium" w:hAnsi="Gentium" w:cs="Gentium"/>
          <w:i/>
        </w:rPr>
      </w:r>
      <w:r>
        <w:rPr>
          <w:rFonts w:ascii="Gentium" w:hAnsi="Gentium" w:cs="Gentium"/>
          <w:i/>
        </w:rPr>
      </w:r>
      <w:r>
        <w:rPr>
          <w:rFonts w:ascii="Gentium" w:hAnsi="Gentium" w:cs="Gentium"/>
          <w:i/>
        </w:rPr>
      </w:r>
    </w:p>
    <w:p>
      <w:pPr>
        <w:pStyle w:val="1017"/>
        <w:pBdr/>
        <w:spacing/>
        <w:ind/>
        <w:jc w:val="both"/>
        <w:rPr>
          <w:rFonts w:ascii="Gentium" w:hAnsi="Gentium" w:cs="Gentium"/>
          <w:sz w:val="24"/>
          <w:szCs w:val="24"/>
        </w:rPr>
      </w:pPr>
      <w:r>
        <w:rPr>
          <w:rFonts w:ascii="Gentium" w:hAnsi="Gentium" w:eastAsia="Gentium" w:cs="Gentium"/>
          <w:sz w:val="24"/>
          <w:szCs w:val="24"/>
        </w:rPr>
        <w:t xml:space="preserve">Martin, Dale B., and Patricia Cox Miller, eds. </w:t>
      </w:r>
      <w:r>
        <w:rPr>
          <w:rFonts w:ascii="Gentium" w:hAnsi="Gentium" w:eastAsia="Gentium" w:cs="Gentium"/>
          <w:i/>
          <w:iCs/>
          <w:sz w:val="24"/>
          <w:szCs w:val="24"/>
        </w:rPr>
        <w:t xml:space="preserve">The Cultural Turn in Late Ancient Studies: Gender, Asceticism, and Historiography</w:t>
      </w:r>
      <w:r>
        <w:rPr>
          <w:rFonts w:ascii="Gentium" w:hAnsi="Gentium" w:eastAsia="Gentium" w:cs="Gentium"/>
          <w:sz w:val="24"/>
          <w:szCs w:val="24"/>
        </w:rPr>
        <w:t xml:space="preserve">. Durham, N.C.: Duke University Press, 2005.</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Collection of essays arranged in three parts (“Gender”, “Asceticism”, and “Historiography”). First part focuses on women and gendered language in various corp</w:t>
      </w:r>
      <w:r>
        <w:rPr>
          <w:rFonts w:ascii="Gentium" w:hAnsi="Gentium" w:eastAsia="Gentium" w:cs="Gentium"/>
          <w:sz w:val="24"/>
          <w:szCs w:val="24"/>
        </w:rPr>
        <w:t xml:space="preserve">ora of early Christian literature; Part two deals with aspects of asceticism, authority and power; Part three concerns historiography, the rhetoric of heresiology, the creation of a Christian epic, and the construction of Rome in early Christian tradition.</w:t>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eastAsia="Gentium" w:cs="Gentium"/>
          <w:sz w:val="24"/>
          <w:szCs w:val="24"/>
        </w:rPr>
        <w:t xml:space="preserve">Brown, </w:t>
      </w:r>
      <w:r>
        <w:fldChar w:fldCharType="begin"/>
      </w:r>
      <w:r>
        <w:rPr>
          <w:rFonts w:ascii="Gentium" w:hAnsi="Gentium" w:eastAsia="Gentium" w:cs="Gentium"/>
          <w:sz w:val="24"/>
          <w:szCs w:val="24"/>
        </w:rPr>
        <w:instrText xml:space="preserve">ADDIN ZOTERO_ITEM CSL_CITATION {"citationID":"KkWIQYDf","properties":{"formattedCitation":"{\\rtf Peter Robert Lamont Brown, \\i The Body and Soc</w:instrText>
      </w:r>
      <w:r>
        <w:rPr>
          <w:rFonts w:ascii="Gentium" w:hAnsi="Gentium" w:eastAsia="Gentium" w:cs="Gentium"/>
          <w:sz w:val="24"/>
          <w:szCs w:val="24"/>
        </w:rPr>
        <w:instrText xml:space="preserve">iety\\i0{}, vol. 13, Lectures on the History of Religions, New Series (New York, N.Y.; Chichester: Columbia University Press, 1988), http://0-hdl.handle.net.biblio.eui.eu/2027/heb.01093.}","plainCitation":"Peter Robert Lamont Brown, The Body and Society, v</w:instrText>
      </w:r>
      <w:r>
        <w:rPr>
          <w:rFonts w:ascii="Gentium" w:hAnsi="Gentium" w:eastAsia="Gentium" w:cs="Gentium"/>
          <w:sz w:val="24"/>
          <w:szCs w:val="24"/>
        </w:rPr>
        <w:instrText xml:space="preserve">ol. 13, Lectures on the History of Religions, New Series (New York, N.Y.; Chichester: Columbia University Press, 1988), http://0-hdl.handle.net.biblio.eui.eu/2027/heb.01093."},"citationItems":[{"id":994,"uris":["http://zotero.org/users/180157/items/RUG74WH</w:instrText>
      </w:r>
      <w:r>
        <w:rPr>
          <w:rFonts w:ascii="Gentium" w:hAnsi="Gentium" w:eastAsia="Gentium" w:cs="Gentium"/>
          <w:sz w:val="24"/>
          <w:szCs w:val="24"/>
        </w:rPr>
        <w:instrText xml:space="preserve">5"],"uri":["http://zotero.org/users/180157/items/RUG74WH5"],"itemData":{"id":994,"type":"book","title":"The body and society","collection-title":"Lectures on the history of religions, new series","publisher":"Columbia University Press","publisher-place":"N</w:instrText>
      </w:r>
      <w:r>
        <w:rPr>
          <w:rFonts w:ascii="Gentium" w:hAnsi="Gentium" w:eastAsia="Gentium" w:cs="Gentium"/>
          <w:sz w:val="24"/>
          <w:szCs w:val="24"/>
        </w:rPr>
        <w:instrText xml:space="preserve">ew York, N.Y.; Chichester","volume":"13","source":"Open WorldCat","event-place":"New York, N.Y.; Chichester","URL":"http://0-hdl.handle.net.biblio.eui.eu/2027/heb.01093","ISBN":"0231061005 9780231061001 0231061013 9780231061018","shortTitle":"Body and Soci</w:instrText>
      </w:r>
      <w:r>
        <w:rPr>
          <w:rFonts w:ascii="Gentium" w:hAnsi="Gentium" w:eastAsia="Gentium" w:cs="Gentium"/>
          <w:sz w:val="24"/>
          <w:szCs w:val="24"/>
        </w:rPr>
        <w:instrText xml:space="preserve">ety","language":"English","author":[{"family":"Brown","given":"Peter Robert Lamont"}],"issued":{"date-parts":[["1988"]]},"accessed":{"date-parts":[["2013",7,24]]}}}],"schema":"https://github.com/citation-style-language/schema/raw/master/csl-citation.json"}</w:instrText>
      </w:r>
      <w:r>
        <w:rPr>
          <w:rFonts w:ascii="Gentium" w:hAnsi="Gentium" w:eastAsia="Gentium" w:cs="Gentium"/>
          <w:sz w:val="24"/>
          <w:szCs w:val="24"/>
        </w:rPr>
        <w:fldChar w:fldCharType="separate"/>
      </w:r>
      <w:r>
        <w:rPr>
          <w:rFonts w:ascii="Gentium" w:hAnsi="Gentium" w:eastAsia="Gentium" w:cs="Gentium"/>
          <w:sz w:val="24"/>
          <w:szCs w:val="24"/>
        </w:rPr>
        <w:t xml:space="preserve">Peter Robert Lamont. </w:t>
      </w:r>
      <w:r>
        <w:rPr>
          <w:rFonts w:ascii="Gentium" w:hAnsi="Gentium" w:eastAsia="Gentium" w:cs="Gentium"/>
          <w:i/>
          <w:iCs/>
          <w:sz w:val="24"/>
          <w:szCs w:val="24"/>
        </w:rPr>
        <w:t xml:space="preserve">The Body and Society</w:t>
      </w:r>
      <w:r>
        <w:rPr>
          <w:rFonts w:ascii="Gentium" w:hAnsi="Gentium" w:eastAsia="Gentium" w:cs="Gentium"/>
          <w:sz w:val="24"/>
          <w:szCs w:val="24"/>
        </w:rPr>
        <w:t xml:space="preserve">, </w:t>
      </w:r>
      <w:r>
        <w:rPr>
          <w:rFonts w:ascii="Gentium" w:hAnsi="Gentium" w:eastAsia="Gentium" w:cs="Gentium"/>
          <w:i/>
          <w:sz w:val="24"/>
          <w:szCs w:val="24"/>
        </w:rPr>
        <w:t xml:space="preserve">Twentieth Anniversary Edition with a New Introduction</w:t>
      </w:r>
      <w:r>
        <w:rPr>
          <w:rFonts w:ascii="Gentium" w:hAnsi="Gentium" w:eastAsia="Gentium" w:cs="Gentium"/>
          <w:sz w:val="24"/>
          <w:szCs w:val="24"/>
        </w:rPr>
        <w:t xml:space="preserve">. Vol. 13, Lectures on the History of Religions, New Series (New York, N.Y.; Chichester: Columbia University Press, 1988).</w:t>
      </w:r>
      <w:r>
        <w:rPr>
          <w:rFonts w:ascii="Gentium" w:hAnsi="Gentium" w:eastAsia="Gentium" w:cs="Gentium"/>
          <w:sz w:val="24"/>
          <w:szCs w:val="24"/>
        </w:rPr>
        <w:fldChar w:fldCharType="end"/>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Brown treats general topics in body discourses in early Christianity in an introductory section on the body in the city, sexual renunciation, martyrdom, Gnostic spirituality, perceptio</w:t>
      </w:r>
      <w:r>
        <w:rPr>
          <w:rFonts w:ascii="Gentium" w:hAnsi="Gentium" w:eastAsia="Gentium" w:cs="Gentium"/>
          <w:sz w:val="24"/>
          <w:szCs w:val="24"/>
        </w:rPr>
        <w:t xml:space="preserve">ns of gender relations in Christianity, church and body. Then he deals with various aspects of desert traditions in Egypt and Syria, and the three big Latin church fathers, Ambrose, Jerome, and Augustine and their contribution to thinking about sexuality. </w:t>
      </w:r>
      <w:r>
        <w:rPr>
          <w:rFonts w:ascii="Gentium" w:hAnsi="Gentium" w:cs="Gentium"/>
          <w:sz w:val="24"/>
          <w:szCs w:val="24"/>
        </w:rPr>
      </w:r>
      <w:r>
        <w:rPr>
          <w:rFonts w:ascii="Gentium" w:hAnsi="Gentium" w:cs="Gentium"/>
          <w:sz w:val="24"/>
          <w:szCs w:val="24"/>
        </w:rPr>
      </w:r>
    </w:p>
    <w:p>
      <w:pPr>
        <w:pStyle w:val="1017"/>
        <w:pBdr/>
        <w:spacing/>
        <w:ind w:right="0" w:firstLine="0"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eastAsia="Gentium" w:cs="Gentium"/>
          <w:sz w:val="24"/>
          <w:szCs w:val="24"/>
        </w:rPr>
        <w:t xml:space="preserve">Glancy, Jennifer A. </w:t>
      </w:r>
      <w:r>
        <w:rPr>
          <w:rFonts w:ascii="Gentium" w:hAnsi="Gentium" w:eastAsia="Gentium" w:cs="Gentium"/>
          <w:i/>
          <w:iCs/>
          <w:sz w:val="24"/>
          <w:szCs w:val="24"/>
        </w:rPr>
        <w:t xml:space="preserve">Corporal Knowledge: Early Christian Bodies</w:t>
      </w:r>
      <w:r>
        <w:rPr>
          <w:rFonts w:ascii="Gentium" w:hAnsi="Gentium" w:eastAsia="Gentium" w:cs="Gentium"/>
          <w:sz w:val="24"/>
          <w:szCs w:val="24"/>
        </w:rPr>
        <w:t xml:space="preserve">. New York, N.Y.: Oxford University Press, 2010.</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Argues for the nature of embodied knowledge drawing on the work of Maurice Merleau-Ponty, Pierre Bourdieu, and Linda Martín A</w:t>
      </w:r>
      <w:r>
        <w:rPr>
          <w:rFonts w:ascii="Gentium" w:hAnsi="Gentium" w:eastAsia="Gentium" w:cs="Gentium"/>
          <w:sz w:val="24"/>
          <w:szCs w:val="24"/>
        </w:rPr>
        <w:t xml:space="preserve">lcoff, constructing the contours of a cultural history of early Christianity, illuminating Paul’s use of the marked body as source of knowledge and power as well as the use of slavery metaphors in Christian discourse and the construction of sexual ethics. </w:t>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eastAsia="Gentium" w:cs="Gentium"/>
          <w:sz w:val="24"/>
          <w:szCs w:val="24"/>
        </w:rPr>
        <w:t xml:space="preserve">Leyerle, Blake. </w:t>
      </w:r>
      <w:r>
        <w:rPr>
          <w:rFonts w:ascii="Gentium" w:hAnsi="Gentium" w:eastAsia="Gentium" w:cs="Gentium"/>
          <w:i/>
          <w:iCs/>
          <w:sz w:val="24"/>
          <w:szCs w:val="24"/>
        </w:rPr>
        <w:t xml:space="preserve">Theatrical Shows and Ascetic Lives: John Chrysostom’s Attack on Spiritual Marriage</w:t>
      </w:r>
      <w:r>
        <w:rPr>
          <w:rFonts w:ascii="Gentium" w:hAnsi="Gentium" w:eastAsia="Gentium" w:cs="Gentium"/>
          <w:sz w:val="24"/>
          <w:szCs w:val="24"/>
        </w:rPr>
        <w:t xml:space="preserve">. Berkeley, Calif.; London: University of California Press, 2001.</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A study of the late Antique theatre of Antioch and its role as transmitter of social values of pride, vainglory, and show as the context fo</w:t>
      </w:r>
      <w:r>
        <w:rPr>
          <w:rFonts w:ascii="Gentium" w:hAnsi="Gentium" w:eastAsia="Gentium" w:cs="Gentium"/>
          <w:sz w:val="24"/>
          <w:szCs w:val="24"/>
        </w:rPr>
        <w:t xml:space="preserve">r the vehement discourse of John Chrysostom against this culture; drawing on the language and imagery of the theatre, Chrysostom argued against spiritual marriages, and Leyerle highlights Chrysostom’s role in shaping early Christian attitudes to sexuality.</w:t>
      </w:r>
      <w:r>
        <w:rPr>
          <w:rFonts w:ascii="Gentium" w:hAnsi="Gentium" w:cs="Gentium"/>
          <w:sz w:val="24"/>
          <w:szCs w:val="24"/>
        </w:rPr>
      </w:r>
      <w:r>
        <w:rPr>
          <w:rFonts w:ascii="Gentium" w:hAnsi="Gentium" w:cs="Gentium"/>
          <w:sz w:val="24"/>
          <w:szCs w:val="24"/>
        </w:rPr>
      </w:r>
    </w:p>
    <w:p>
      <w:pPr>
        <w:pStyle w:val="1017"/>
        <w:pBdr/>
        <w:spacing/>
        <w:ind w:right="0" w:firstLine="0"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eastAsia="Gentium" w:cs="Gentium"/>
          <w:sz w:val="24"/>
          <w:szCs w:val="24"/>
        </w:rPr>
        <w:t xml:space="preserve">Glancy, Jennifer A. </w:t>
      </w:r>
      <w:r>
        <w:rPr>
          <w:rFonts w:ascii="Gentium" w:hAnsi="Gentium" w:eastAsia="Gentium" w:cs="Gentium"/>
          <w:i/>
          <w:iCs/>
          <w:sz w:val="24"/>
          <w:szCs w:val="24"/>
        </w:rPr>
        <w:t xml:space="preserve">Slavery in Early Christianity</w:t>
      </w:r>
      <w:r>
        <w:rPr>
          <w:rFonts w:ascii="Gentium" w:hAnsi="Gentium" w:eastAsia="Gentium" w:cs="Gentium"/>
          <w:sz w:val="24"/>
          <w:szCs w:val="24"/>
        </w:rPr>
        <w:t xml:space="preserve">. New York, N.Y.: Oxford University Press, 2002.</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Glancy presents studies on aspects of slavery in early Christianity in the context of slaveholding and slavery discourse in Graeco-Roman antiquity, as a practice of dominated and exploite</w:t>
      </w:r>
      <w:r>
        <w:rPr>
          <w:rFonts w:ascii="Gentium" w:hAnsi="Gentium" w:eastAsia="Gentium" w:cs="Gentium"/>
          <w:sz w:val="24"/>
          <w:szCs w:val="24"/>
        </w:rPr>
        <w:t xml:space="preserve">d bodies. She describes the concrete lives of slaves in Christian households as well as the use metaphors of enslavement and setting free in Christian discourse. Glancy shows how slaveholder culture endured and shaped morality in early Christian discourse.</w:t>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Harrill, James Albert. </w:t>
      </w:r>
      <w:r>
        <w:rPr>
          <w:rFonts w:ascii="Gentium" w:hAnsi="Gentium" w:eastAsia="Gentium" w:cs="Gentium"/>
          <w:i/>
          <w:iCs/>
        </w:rPr>
        <w:t xml:space="preserve">The Manumission of Slaves in Early Christianity</w:t>
      </w:r>
      <w:r>
        <w:rPr>
          <w:rFonts w:ascii="Gentium" w:hAnsi="Gentium" w:eastAsia="Gentium" w:cs="Gentium"/>
        </w:rPr>
        <w:t xml:space="preserve">. </w:t>
      </w:r>
      <w:r>
        <w:rPr>
          <w:rFonts w:ascii="Gentium" w:hAnsi="Gentium" w:eastAsia="Gentium" w:cs="Gentium"/>
          <w:lang w:val="de-DE"/>
        </w:rPr>
        <w:t xml:space="preserve">2nd ed. Vol. 32. Hermeneutische Untersuchungen zur Theologie. Tübingen: Mohr Siebeck, 1998.</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lang w:val="en-ZA"/>
        </w:rPr>
        <w:t xml:space="preserve">Introduction on social history and exegesis with a detailed overview of slavery in antiquity; exegesis of 1 Cor 7:21 on acquiring</w:t>
      </w:r>
      <w:r>
        <w:rPr>
          <w:rFonts w:ascii="Gentium" w:hAnsi="Gentium" w:eastAsia="Gentium" w:cs="Gentium"/>
          <w:lang w:val="en-ZA"/>
        </w:rPr>
        <w:t xml:space="preserve"> freedom, history of scholarship on the issue; the common chest in the ancient world to provide for manumission, associations and slave membership; Ignatius and the corporate manumission of slaves in early Christianity; conclusion on freedom from slavery. </w:t>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Elm, Susanna. </w:t>
      </w:r>
      <w:r>
        <w:rPr>
          <w:rFonts w:ascii="Gentium" w:hAnsi="Gentium" w:eastAsia="Gentium" w:cs="Gentium"/>
          <w:i/>
          <w:iCs/>
        </w:rPr>
        <w:t xml:space="preserve">Virgins of God: The Making of Asceticism in Late Antiquity</w:t>
      </w:r>
      <w:r>
        <w:rPr>
          <w:rFonts w:ascii="Gentium" w:hAnsi="Gentium" w:eastAsia="Gentium" w:cs="Gentium"/>
        </w:rPr>
        <w:t xml:space="preserve">. Oxford Classical Monographs. New York, N.Y.: Oxford University Press, 1994.</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Various studies arranged in two sections: Part one on Asia Minor deals with fema</w:t>
      </w:r>
      <w:r>
        <w:rPr>
          <w:rFonts w:ascii="Gentium" w:hAnsi="Gentium" w:eastAsia="Gentium" w:cs="Gentium"/>
        </w:rPr>
        <w:t xml:space="preserve">le ascetic life, the classical model for asceticism, variety of male and female ascetics, the demise of the homoiousian model; Part two deals with Egypt and treats desert mothers and virgins, the classical monastic model, asceticism as an urban phenomenon.</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lang w:val="en-ZA"/>
        </w:rPr>
        <w:t xml:space="preserve">Schüssler Fiorenza, Elisabeth, and Laura Salah Nasrallah, eds. </w:t>
      </w:r>
      <w:r>
        <w:rPr>
          <w:rFonts w:ascii="Gentium" w:hAnsi="Gentium" w:eastAsia="Gentium" w:cs="Gentium"/>
          <w:i/>
          <w:iCs/>
        </w:rPr>
        <w:t xml:space="preserve">Prejudice and Christian Beginnings: Investigating Race, Gender, and Ethnicity in Early Christian Studies</w:t>
      </w:r>
      <w:r>
        <w:rPr>
          <w:rFonts w:ascii="Gentium" w:hAnsi="Gentium" w:eastAsia="Gentium" w:cs="Gentium"/>
        </w:rPr>
        <w:t xml:space="preserve">. Minneapolis, Minn.: Fortress Press, 2010.</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The volume sets out the intersections of race, gender, status, and ethnicity in early Christianity in light of contemporary theory. The book then considers issues of race and ethnicity discou</w:t>
      </w:r>
      <w:r>
        <w:rPr>
          <w:rFonts w:ascii="Gentium" w:hAnsi="Gentium" w:eastAsia="Gentium" w:cs="Gentium"/>
        </w:rPr>
        <w:t xml:space="preserve">rse in Early Christian Studies and gospel scholarship. In a rhetoric of inquiry investigates the traces of race theory, ethnicity and ethnoreligion in German Historical-Jesus scholarship and relates these issues to national ideologies, scripture, and race.</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1"/>
        <w:pBdr/>
        <w:spacing/>
        <w:ind/>
        <w:rPr>
          <w:rFonts w:ascii="Gentium" w:hAnsi="Gentium" w:cs="Gentium"/>
        </w:rPr>
      </w:pPr>
      <w:r/>
      <w:bookmarkStart w:id="39" w:name="_Toc414386083"/>
      <w:r>
        <w:rPr>
          <w:rFonts w:ascii="Gentium" w:hAnsi="Gentium" w:eastAsia="Gentium" w:cs="Gentium"/>
        </w:rPr>
        <w:t xml:space="preserve">Constructions of Authority/Imperial Christianity</w:t>
      </w:r>
      <w:bookmarkEnd w:id="39"/>
      <w:r>
        <w:rPr>
          <w:rFonts w:ascii="Gentium" w:hAnsi="Gentium" w:eastAsia="Gentium" w:cs="Gentium"/>
        </w:rPr>
        <w:t xml:space="preserve"> </w:t>
      </w:r>
      <w:r>
        <w:rPr>
          <w:rFonts w:ascii="Gentium" w:hAnsi="Gentium" w:cs="Gentium"/>
        </w:rPr>
      </w:r>
      <w:r>
        <w:rPr>
          <w:rFonts w:ascii="Gentium" w:hAnsi="Gentium" w:cs="Gentium"/>
        </w:rPr>
      </w:r>
    </w:p>
    <w:p>
      <w:pPr>
        <w:pStyle w:val="937"/>
        <w:pBdr/>
        <w:spacing w:after="0" w:before="0" w:line="240" w:lineRule="auto"/>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eastAsia="Gentium" w:cs="Gentium"/>
          <w:sz w:val="24"/>
          <w:szCs w:val="24"/>
        </w:rPr>
      </w:pPr>
      <w:r>
        <w:rPr>
          <w:rFonts w:ascii="Gentium" w:hAnsi="Gentium" w:eastAsia="Gentium" w:cs="Gentium"/>
          <w:sz w:val="24"/>
          <w:szCs w:val="24"/>
        </w:rPr>
        <w:t xml:space="preserve">It is now accepted that issues of authority construction in the formation o</w:t>
      </w:r>
      <w:r>
        <w:rPr>
          <w:rFonts w:ascii="Gentium" w:hAnsi="Gentium" w:eastAsia="Gentium" w:cs="Gentium"/>
          <w:sz w:val="24"/>
          <w:szCs w:val="24"/>
        </w:rPr>
        <w:t xml:space="preserve">f early Christianity are deeply embedded in the imperial discursive context that formed the matrix for the origins, development, and growth of Christian groups in the Roman Empire. Authority construction not only implied a rhetorical contest with respect t</w:t>
      </w:r>
      <w:r>
        <w:rPr>
          <w:rFonts w:ascii="Gentium" w:hAnsi="Gentium" w:eastAsia="Gentium" w:cs="Gentium"/>
          <w:sz w:val="24"/>
          <w:szCs w:val="24"/>
        </w:rPr>
        <w:t xml:space="preserve">o the exercise of power and influence in the making and definition of early Christian identities, but also manifests in the hierarchical stratification of early Christianity. Both phenomena are now understood as epiphenomena or discursive effects of the Ro</w:t>
      </w:r>
      <w:r>
        <w:rPr>
          <w:rFonts w:ascii="Gentium" w:hAnsi="Gentium" w:eastAsia="Gentium" w:cs="Gentium"/>
          <w:sz w:val="24"/>
          <w:szCs w:val="24"/>
        </w:rPr>
        <w:t xml:space="preserve">man imperial context in which Christianity took root. In fact, a number of studies on Christian origins, especially those listed under the last rubric in this entry (“Christian Origins”) but also others, now argue that Christianity is an imperial product. </w:t>
      </w:r>
      <w:r>
        <w:rPr>
          <w:rFonts w:ascii="Gentium" w:hAnsi="Gentium" w:eastAsia="Gentium" w:cs="Gentium"/>
          <w:sz w:val="24"/>
          <w:szCs w:val="24"/>
        </w:rPr>
      </w:r>
      <w:r>
        <w:rPr>
          <w:rFonts w:ascii="Gentium" w:hAnsi="Gentium" w:eastAsia="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eastAsia="Gentium" w:cs="Gentium"/>
          <w:sz w:val="24"/>
          <w:szCs w:val="24"/>
        </w:rPr>
      </w:pPr>
      <w:r>
        <w:rPr>
          <w:rFonts w:ascii="Gentium" w:hAnsi="Gentium" w:eastAsia="Gentium" w:cs="Gentium"/>
          <w:sz w:val="24"/>
          <w:szCs w:val="24"/>
        </w:rPr>
        <w:t xml:space="preserve">Nasrallah shows how the rhetoric of madness and possession was a discourse on knowing the divine, the effort to control it and to establish authority and define Christian identity in the midst of many competing forms of Christianity. </w:t>
      </w:r>
      <w:r>
        <w:rPr>
          <w:rFonts w:ascii="Gentium" w:hAnsi="Gentium" w:eastAsia="Gentium" w:cs="Gentium"/>
          <w:sz w:val="24"/>
          <w:szCs w:val="24"/>
        </w:rPr>
      </w:r>
      <w:r>
        <w:rPr>
          <w:rFonts w:ascii="Gentium" w:hAnsi="Gentium" w:eastAsia="Gentium" w:cs="Gentium"/>
          <w:sz w:val="24"/>
          <w:szCs w:val="24"/>
        </w:rPr>
      </w:r>
    </w:p>
    <w:p>
      <w:pPr>
        <w:pStyle w:val="937"/>
        <w:pBdr/>
        <w:spacing w:after="0" w:before="0" w:line="240" w:lineRule="auto"/>
        <w:ind/>
        <w:jc w:val="both"/>
        <w:rPr>
          <w:rFonts w:ascii="Gentium" w:hAnsi="Gentium" w:eastAsia="Gentium" w:cs="Gentium"/>
          <w:sz w:val="24"/>
          <w:szCs w:val="24"/>
          <w:highlight w:val="none"/>
        </w:rPr>
      </w:pPr>
      <w:r>
        <w:rPr>
          <w:rFonts w:ascii="Gentium" w:hAnsi="Gentium" w:eastAsia="Gentium" w:cs="Gentium"/>
          <w:sz w:val="24"/>
          <w:szCs w:val="24"/>
        </w:rPr>
      </w:r>
      <w:r>
        <w:rPr>
          <w:rFonts w:ascii="Gentium" w:hAnsi="Gentium" w:eastAsia="Gentium" w:cs="Gentium"/>
          <w:sz w:val="24"/>
          <w:szCs w:val="24"/>
          <w:highlight w:val="none"/>
        </w:rPr>
      </w:r>
      <w:r>
        <w:rPr>
          <w:rFonts w:ascii="Gentium" w:hAnsi="Gentium" w:eastAsia="Gentium" w:cs="Gentium"/>
          <w:sz w:val="24"/>
          <w:szCs w:val="24"/>
          <w:highlight w:val="none"/>
        </w:rPr>
      </w:r>
    </w:p>
    <w:p>
      <w:pPr>
        <w:pStyle w:val="937"/>
        <w:pBdr/>
        <w:spacing w:after="0" w:before="0" w:line="240" w:lineRule="auto"/>
        <w:ind/>
        <w:jc w:val="both"/>
        <w:rPr>
          <w:rFonts w:ascii="Gentium" w:hAnsi="Gentium" w:eastAsia="Gentium" w:cs="Gentium"/>
          <w:sz w:val="24"/>
          <w:szCs w:val="24"/>
        </w:rPr>
      </w:pPr>
      <w:r>
        <w:rPr>
          <w:rFonts w:ascii="Gentium" w:hAnsi="Gentium" w:eastAsia="Gentium" w:cs="Gentium"/>
          <w:sz w:val="24"/>
          <w:szCs w:val="24"/>
        </w:rPr>
        <w:t xml:space="preserve">In light of the rise of the papacy as emblematic of Christianity in late Antiquity, Sessa examine</w:t>
      </w:r>
      <w:r>
        <w:rPr>
          <w:rFonts w:ascii="Gentium" w:hAnsi="Gentium" w:eastAsia="Gentium" w:cs="Gentium"/>
          <w:sz w:val="24"/>
          <w:szCs w:val="24"/>
        </w:rPr>
        <w:t xml:space="preserve">s the cultural history of papal authority in late antiquity, arguing that Rome's bishops adopted the ancient elite household as a model of good government for leading the church. Central to this phenomenon was the classical and biblical figure of the stewa</w:t>
      </w:r>
      <w:r>
        <w:rPr>
          <w:rFonts w:ascii="Gentium" w:hAnsi="Gentium" w:eastAsia="Gentium" w:cs="Gentium"/>
          <w:sz w:val="24"/>
          <w:szCs w:val="24"/>
        </w:rPr>
        <w:t xml:space="preserve">rd, the householder's appointed agent who oversaw his property and people. As stewards of God, Roman bishops endeavored to exercise moral and material influence within both the pope's own administration and the households of Italy's clergy and lay elites. </w:t>
      </w:r>
      <w:r>
        <w:rPr>
          <w:rFonts w:ascii="Gentium" w:hAnsi="Gentium" w:eastAsia="Gentium" w:cs="Gentium"/>
          <w:sz w:val="24"/>
          <w:szCs w:val="24"/>
        </w:rPr>
      </w:r>
      <w:r>
        <w:rPr>
          <w:rFonts w:ascii="Gentium" w:hAnsi="Gentium" w:eastAsia="Gentium" w:cs="Gentium"/>
          <w:sz w:val="24"/>
          <w:szCs w:val="24"/>
        </w:rPr>
      </w:r>
    </w:p>
    <w:p>
      <w:pPr>
        <w:pStyle w:val="937"/>
        <w:pBdr/>
        <w:spacing w:after="0" w:before="0" w:line="240" w:lineRule="auto"/>
        <w:ind/>
        <w:jc w:val="both"/>
        <w:rPr>
          <w:rFonts w:ascii="Gentium" w:hAnsi="Gentium" w:eastAsia="Gentium" w:cs="Gentium"/>
          <w:sz w:val="24"/>
          <w:szCs w:val="24"/>
          <w:highlight w:val="none"/>
        </w:rPr>
      </w:pPr>
      <w:r>
        <w:rPr>
          <w:rFonts w:ascii="Gentium" w:hAnsi="Gentium" w:eastAsia="Gentium" w:cs="Gentium"/>
          <w:sz w:val="24"/>
          <w:szCs w:val="24"/>
        </w:rPr>
      </w:r>
      <w:r>
        <w:rPr>
          <w:rFonts w:ascii="Gentium" w:hAnsi="Gentium" w:eastAsia="Gentium" w:cs="Gentium"/>
          <w:sz w:val="24"/>
          <w:szCs w:val="24"/>
          <w:highlight w:val="none"/>
        </w:rPr>
      </w:r>
      <w:r>
        <w:rPr>
          <w:rFonts w:ascii="Gentium" w:hAnsi="Gentium" w:eastAsia="Gentium" w:cs="Gentium"/>
          <w:sz w:val="24"/>
          <w:szCs w:val="24"/>
          <w:highlight w:val="none"/>
        </w:rPr>
      </w:r>
    </w:p>
    <w:p>
      <w:pPr>
        <w:pStyle w:val="937"/>
        <w:pBdr/>
        <w:spacing w:after="0" w:before="0" w:line="240" w:lineRule="auto"/>
        <w:ind/>
        <w:jc w:val="both"/>
        <w:rPr>
          <w:rFonts w:ascii="Gentium" w:hAnsi="Gentium" w:eastAsia="Gentium" w:cs="Gentium"/>
          <w:sz w:val="24"/>
          <w:szCs w:val="24"/>
        </w:rPr>
      </w:pPr>
      <w:r>
        <w:rPr>
          <w:rFonts w:ascii="Gentium" w:hAnsi="Gentium" w:eastAsia="Gentium" w:cs="Gentium"/>
          <w:sz w:val="24"/>
          <w:szCs w:val="24"/>
        </w:rPr>
        <w:t xml:space="preserve">Closer to the topic of the intersection of the Roman </w:t>
      </w:r>
      <w:r>
        <w:rPr>
          <w:rFonts w:ascii="Gentium" w:hAnsi="Gentium" w:eastAsia="Gentium" w:cs="Gentium"/>
          <w:sz w:val="24"/>
          <w:szCs w:val="24"/>
        </w:rPr>
        <w:t xml:space="preserve">Empire and Christianity, Salzman investigates the conversion of Roman aristocratic elites and the effect this had on Christianity. Later Christian leaders came from the same social circles as the senatorial aristocracy and by virtue of social location and </w:t>
      </w:r>
      <w:r>
        <w:rPr>
          <w:rFonts w:ascii="Gentium" w:hAnsi="Gentium" w:eastAsia="Gentium" w:cs="Gentium"/>
          <w:i/>
          <w:sz w:val="24"/>
          <w:szCs w:val="24"/>
        </w:rPr>
        <w:t xml:space="preserve">paideia</w:t>
      </w:r>
      <w:r>
        <w:rPr>
          <w:rFonts w:ascii="Gentium" w:hAnsi="Gentium" w:eastAsia="Gentium" w:cs="Gentium"/>
          <w:sz w:val="24"/>
          <w:szCs w:val="24"/>
        </w:rPr>
        <w:t xml:space="preserve">, imported the same imperial discourse into their practice of Christian formation. </w:t>
      </w:r>
      <w:r>
        <w:rPr>
          <w:rFonts w:ascii="Gentium" w:hAnsi="Gentium" w:eastAsia="Gentium" w:cs="Gentium"/>
          <w:sz w:val="24"/>
          <w:szCs w:val="24"/>
        </w:rPr>
      </w:r>
      <w:r>
        <w:rPr>
          <w:rFonts w:ascii="Gentium" w:hAnsi="Gentium" w:eastAsia="Gentium" w:cs="Gentium"/>
          <w:sz w:val="24"/>
          <w:szCs w:val="24"/>
        </w:rPr>
      </w:r>
    </w:p>
    <w:p>
      <w:pPr>
        <w:pStyle w:val="937"/>
        <w:pBdr/>
        <w:spacing w:after="0" w:before="0" w:line="240" w:lineRule="auto"/>
        <w:ind/>
        <w:jc w:val="both"/>
        <w:rPr>
          <w:rFonts w:ascii="Gentium" w:hAnsi="Gentium" w:eastAsia="Gentium" w:cs="Gentium"/>
          <w:sz w:val="24"/>
          <w:szCs w:val="24"/>
          <w:highlight w:val="none"/>
        </w:rPr>
      </w:pPr>
      <w:r>
        <w:rPr>
          <w:rFonts w:ascii="Gentium" w:hAnsi="Gentium" w:eastAsia="Gentium" w:cs="Gentium"/>
          <w:sz w:val="24"/>
          <w:szCs w:val="24"/>
        </w:rPr>
      </w:r>
      <w:r>
        <w:rPr>
          <w:rFonts w:ascii="Gentium" w:hAnsi="Gentium" w:eastAsia="Gentium" w:cs="Gentium"/>
          <w:sz w:val="24"/>
          <w:szCs w:val="24"/>
          <w:highlight w:val="none"/>
        </w:rPr>
      </w:r>
      <w:r>
        <w:rPr>
          <w:rFonts w:ascii="Gentium" w:hAnsi="Gentium" w:eastAsia="Gentium" w:cs="Gentium"/>
          <w:sz w:val="24"/>
          <w:szCs w:val="24"/>
          <w:highlight w:val="none"/>
        </w:rPr>
      </w:r>
    </w:p>
    <w:p>
      <w:pPr>
        <w:pStyle w:val="937"/>
        <w:pBdr/>
        <w:spacing w:after="0" w:before="0" w:line="240" w:lineRule="auto"/>
        <w:ind/>
        <w:jc w:val="both"/>
        <w:rPr>
          <w:rFonts w:ascii="Gentium" w:hAnsi="Gentium" w:eastAsia="Gentium" w:cs="Gentium"/>
          <w:sz w:val="24"/>
          <w:szCs w:val="24"/>
          <w:highlight w:val="none"/>
        </w:rPr>
      </w:pPr>
      <w:r>
        <w:rPr>
          <w:rFonts w:ascii="Gentium" w:hAnsi="Gentium" w:eastAsia="Gentium" w:cs="Gentium"/>
          <w:sz w:val="24"/>
          <w:szCs w:val="24"/>
        </w:rPr>
        <w:t xml:space="preserve">This issue is further explored by Elm, who compares </w:t>
      </w:r>
      <w:r>
        <w:rPr>
          <w:rFonts w:ascii="Gentium" w:hAnsi="Gentium" w:eastAsia="Gentium" w:cs="Gentium"/>
          <w:sz w:val="24"/>
          <w:szCs w:val="24"/>
        </w:rPr>
        <w:t xml:space="preserve">the Roman emperor Julian (the Apostate) with Gregory of Nazianzus in the context of the Eastern Roman Empire. She shows how both subsist in the same political philosophy, namely Roman universalism, its divine legitimation and the authority to represent it.</w:t>
      </w:r>
      <w:r>
        <w:rPr>
          <w:rFonts w:ascii="Gentium" w:hAnsi="Gentium" w:eastAsia="Gentium" w:cs="Gentium"/>
          <w:sz w:val="24"/>
          <w:szCs w:val="24"/>
          <w:highlight w:val="none"/>
        </w:rPr>
      </w:r>
      <w:r>
        <w:rPr>
          <w:rFonts w:ascii="Gentium" w:hAnsi="Gentium" w:eastAsia="Gentium" w:cs="Gentium"/>
          <w:sz w:val="24"/>
          <w:szCs w:val="24"/>
          <w:highlight w:val="none"/>
        </w:rPr>
      </w:r>
    </w:p>
    <w:p>
      <w:pPr>
        <w:pStyle w:val="1017"/>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eastAsia="Gentium" w:cs="Gentium"/>
          <w:sz w:val="24"/>
          <w:szCs w:val="24"/>
        </w:rPr>
        <w:t xml:space="preserve">Nasrallah, Laura Salah. </w:t>
      </w:r>
      <w:r>
        <w:rPr>
          <w:rFonts w:ascii="Gentium" w:hAnsi="Gentium" w:eastAsia="Gentium" w:cs="Gentium"/>
          <w:i/>
          <w:iCs/>
          <w:sz w:val="24"/>
          <w:szCs w:val="24"/>
        </w:rPr>
        <w:t xml:space="preserve">An Ecstasy of Folly: Prophecy and Authority in Early Christianity</w:t>
      </w:r>
      <w:r>
        <w:rPr>
          <w:rFonts w:ascii="Gentium" w:hAnsi="Gentium" w:eastAsia="Gentium" w:cs="Gentium"/>
          <w:sz w:val="24"/>
          <w:szCs w:val="24"/>
        </w:rPr>
        <w:t xml:space="preserve">. Vol. 52. Harvard Theological Studies. Cambridge, Mass.: Harvard University Press, 2003.</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rPr>
      </w:pPr>
      <w:r>
        <w:rPr>
          <w:rFonts w:ascii="Gentium" w:hAnsi="Gentium" w:eastAsia="Gentium" w:cs="Gentium"/>
          <w:sz w:val="24"/>
          <w:szCs w:val="24"/>
        </w:rPr>
        <w:t xml:space="preserve">Nasrallah describes the phenomenon of mad</w:t>
      </w:r>
      <w:r>
        <w:rPr>
          <w:rFonts w:ascii="Gentium" w:hAnsi="Gentium" w:eastAsia="Gentium" w:cs="Gentium"/>
          <w:sz w:val="24"/>
          <w:szCs w:val="24"/>
        </w:rPr>
        <w:t xml:space="preserve">ness and ecstasy in antiquity, showing also Paul’s rhetorical employment of the concept of ecstasy in arguments regarding revealed knowledge. She deals with Tertullian’s anthropology and his positive evaluation of the “New Prophecy” as well as the negative</w:t>
      </w:r>
      <w:r>
        <w:rPr>
          <w:rFonts w:ascii="Gentium" w:hAnsi="Gentium" w:eastAsia="Gentium" w:cs="Gentium"/>
          <w:sz w:val="24"/>
          <w:szCs w:val="24"/>
          <w:lang w:val="en-ZA"/>
        </w:rPr>
        <w:t xml:space="preserve"> labelling of “New Prophecy” in heresiologies. She argues that this study is significant for the wider conceptualization of Christian origins. </w:t>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eastAsia="Gentium" w:cs="Gentium"/>
          <w:sz w:val="24"/>
          <w:szCs w:val="24"/>
        </w:rPr>
        <w:t xml:space="preserve">Sessa, Kristina. </w:t>
      </w:r>
      <w:r>
        <w:rPr>
          <w:rFonts w:ascii="Gentium" w:hAnsi="Gentium" w:eastAsia="Gentium" w:cs="Gentium"/>
          <w:i/>
          <w:iCs/>
          <w:sz w:val="24"/>
          <w:szCs w:val="24"/>
        </w:rPr>
        <w:t xml:space="preserve">The Formation of Papal Authority in Late Antique Italy: Roman Bishops and the Domestic Sphere</w:t>
      </w:r>
      <w:r>
        <w:rPr>
          <w:rFonts w:ascii="Gentium" w:hAnsi="Gentium" w:eastAsia="Gentium" w:cs="Gentium"/>
          <w:sz w:val="24"/>
          <w:szCs w:val="24"/>
        </w:rPr>
        <w:t xml:space="preserve">. New York, N.Y.: Cambridge University Press, 2012.</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Sessa investigates the use of the model of the late Roman household to cons</w:t>
      </w:r>
      <w:r>
        <w:rPr>
          <w:rFonts w:ascii="Gentium" w:hAnsi="Gentium" w:eastAsia="Gentium" w:cs="Gentium"/>
          <w:sz w:val="24"/>
          <w:szCs w:val="24"/>
        </w:rPr>
        <w:t xml:space="preserve">truct the authority of the bishop of Rome; studies the ideology of stewardship as ideal, episcopal householding in theory and practice, the impact of family lives on clerical offices, demarcation of episcopal authority in converted aristocratic households.</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37"/>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Salzman, Michele Renee. </w:t>
      </w:r>
      <w:r>
        <w:rPr>
          <w:rFonts w:ascii="Gentium" w:hAnsi="Gentium" w:eastAsia="Gentium" w:cs="Gentium"/>
          <w:i/>
          <w:iCs/>
          <w:sz w:val="24"/>
          <w:szCs w:val="24"/>
        </w:rPr>
        <w:t xml:space="preserve">The Making of a Christian Aristocracy: Social and Religious Change in the Western Roman Empire</w:t>
      </w:r>
      <w:r>
        <w:rPr>
          <w:rFonts w:ascii="Gentium" w:hAnsi="Gentium" w:eastAsia="Gentium" w:cs="Gentium"/>
          <w:sz w:val="24"/>
          <w:szCs w:val="24"/>
        </w:rPr>
        <w:t xml:space="preserve">. Cambridge, Mass.; London: Harvard University Press, 2004.</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The paradox of Roman aristocratic elites adopting the “lowly” religion of the masses, Christianity, is described by Salzman, highlighted by a study of</w:t>
      </w:r>
      <w:r>
        <w:rPr>
          <w:rFonts w:ascii="Gentium" w:hAnsi="Gentium" w:eastAsia="Gentium" w:cs="Gentium"/>
          <w:sz w:val="24"/>
          <w:szCs w:val="24"/>
        </w:rPr>
        <w:t xml:space="preserve"> the senatorial aristocracy around the fourth century, the social origins and careers of senatorial aristocrats, including the role of aristocratic women, and the impact of the interaction between Christian emperor and aristocratic elites on Christianity. </w:t>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right="0" w:firstLine="720" w:left="0"/>
        <w:jc w:val="both"/>
        <w:rPr>
          <w:rFonts w:ascii="Gentium" w:hAnsi="Gentium" w:cs="Gentium"/>
          <w:i/>
        </w:rPr>
      </w:pPr>
      <w:r>
        <w:rPr>
          <w:rFonts w:ascii="Gentium" w:hAnsi="Gentium" w:cs="Gentium"/>
          <w:i/>
        </w:rPr>
      </w:r>
      <w:r>
        <w:rPr>
          <w:rFonts w:ascii="Gentium" w:hAnsi="Gentium" w:cs="Gentium"/>
          <w:i/>
        </w:rPr>
      </w:r>
      <w:r>
        <w:rPr>
          <w:rFonts w:ascii="Gentium" w:hAnsi="Gentium" w:cs="Gentium"/>
          <w:i/>
        </w:rPr>
      </w:r>
    </w:p>
    <w:p>
      <w:pPr>
        <w:pStyle w:val="1017"/>
        <w:pBdr/>
        <w:spacing/>
        <w:ind/>
        <w:jc w:val="both"/>
        <w:rPr>
          <w:rFonts w:ascii="Gentium" w:hAnsi="Gentium" w:cs="Gentium"/>
          <w:sz w:val="24"/>
          <w:szCs w:val="24"/>
        </w:rPr>
      </w:pPr>
      <w:r>
        <w:rPr>
          <w:rFonts w:ascii="Gentium" w:hAnsi="Gentium" w:eastAsia="Gentium" w:cs="Gentium"/>
          <w:sz w:val="24"/>
          <w:szCs w:val="24"/>
        </w:rPr>
        <w:t xml:space="preserve">Elm, Susanna. </w:t>
      </w:r>
      <w:r>
        <w:rPr>
          <w:rFonts w:ascii="Gentium" w:hAnsi="Gentium" w:eastAsia="Gentium" w:cs="Gentium"/>
          <w:i/>
          <w:iCs/>
          <w:sz w:val="24"/>
          <w:szCs w:val="24"/>
        </w:rPr>
        <w:t xml:space="preserve">Sons of Hellenism, Fathers of the Church: Emperor Julian, Gregory of Nazianzus, and the Vision of Rome</w:t>
      </w:r>
      <w:r>
        <w:rPr>
          <w:rFonts w:ascii="Gentium" w:hAnsi="Gentium" w:eastAsia="Gentium" w:cs="Gentium"/>
          <w:sz w:val="24"/>
          <w:szCs w:val="24"/>
        </w:rPr>
        <w:t xml:space="preserve">. Vol. 49. Transformation of the Classical Heritage. Berkeley, Calif.; London: University of California Press, 2012.</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Elm sets the interaction between Julian and Gregory in context, dealing with the formation of Julian as emperor, contrasting that to the political philosophy and rh</w:t>
      </w:r>
      <w:r>
        <w:rPr>
          <w:rFonts w:ascii="Gentium" w:hAnsi="Gentium" w:eastAsia="Gentium" w:cs="Gentium"/>
          <w:sz w:val="24"/>
          <w:szCs w:val="24"/>
        </w:rPr>
        <w:t xml:space="preserve">etoric of Gregory. Elm describes the religious and ideological conflict between these two, and concludes with the “vision of Rome”, the divine legitimation of Rome’s universalism and the authority to represent it, representing the perspective of elite men.</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0"/>
        <w:pBdr/>
        <w:spacing/>
        <w:ind/>
        <w:rPr>
          <w:rFonts w:ascii="Gentium" w:hAnsi="Gentium" w:cs="Gentium"/>
        </w:rPr>
      </w:pPr>
      <w:r>
        <w:rPr>
          <w:rFonts w:ascii="Gentium" w:hAnsi="Gentium" w:eastAsia="Gentium" w:cs="Gentium"/>
        </w:rPr>
        <w:t xml:space="preserve">W</w:t>
      </w:r>
      <w:r>
        <w:rPr>
          <w:rFonts w:ascii="Gentium" w:hAnsi="Gentium" w:eastAsia="Gentium" w:cs="Gentium"/>
          <w:lang w:val="en-US"/>
        </w:rPr>
        <w:t xml:space="preserve">omen and / in Early Christianity </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A strong focus on women in early Christianity, especially their role in the formation of Christian discourse and other leadership roles, is related to the prominence accorded to gender in the study of early Christianity. Not only is the</w:t>
      </w:r>
      <w:r>
        <w:rPr>
          <w:rFonts w:ascii="Gentium" w:hAnsi="Gentium" w:eastAsia="Gentium" w:cs="Gentium"/>
        </w:rPr>
        <w:t xml:space="preserve"> ‘women/gender project’ a restorationist project – rediscovering and restoring women’s place in the making of Christianity as religious leaders, as significant agents in the formation of Christianity, and as tradents – but female scholarship tends to domin</w:t>
      </w:r>
      <w:r>
        <w:rPr>
          <w:rFonts w:ascii="Gentium" w:hAnsi="Gentium" w:eastAsia="Gentium" w:cs="Gentium"/>
        </w:rPr>
        <w:t xml:space="preserve">ate the area of recent reflection on heterodox traditions like the Gospel of Mary (and Mary traditions in general) and the Gospel of Judas as well as in the use of discourse theory in theorizing early Christian tradition making and authority construction.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Schüssler F</w:t>
      </w:r>
      <w:r>
        <w:rPr>
          <w:rFonts w:ascii="Gentium" w:hAnsi="Gentium" w:eastAsia="Gentium" w:cs="Gentium"/>
        </w:rPr>
        <w:t xml:space="preserve">iorenza is a classic work that in many respects set the agenda for the study of women in early Christianity. It offers a feminist-critical hermeneutics as theoretical framework to recover female agency in the New Testament writings and early Christianity.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lang w:val="en-ZA"/>
        </w:rPr>
      </w:pPr>
      <w:r>
        <w:rPr>
          <w:rFonts w:ascii="Gentium" w:hAnsi="Gentium" w:eastAsia="Gentium" w:cs="Gentium"/>
          <w:lang w:val="en-ZA"/>
        </w:rPr>
      </w:r>
      <w:r>
        <w:rPr>
          <w:rFonts w:ascii="Gentium" w:hAnsi="Gentium" w:eastAsia="Gentium" w:cs="Gentium"/>
          <w:highlight w:val="none"/>
          <w:lang w:val="en-ZA"/>
        </w:rPr>
      </w:r>
      <w:r>
        <w:rPr>
          <w:rFonts w:ascii="Gentium" w:hAnsi="Gentium" w:eastAsia="Gentium" w:cs="Gentium"/>
          <w:highlight w:val="none"/>
          <w:lang w:val="en-ZA"/>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Kraemer and D’Angelo, eds., is a collection of scholarly essays highlighting women and female agency in the ancient world and in early Christianity.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lang w:val="en-ZA"/>
        </w:rPr>
      </w:pPr>
      <w:r>
        <w:rPr>
          <w:rFonts w:ascii="Gentium" w:hAnsi="Gentium" w:eastAsia="Gentium" w:cs="Gentium"/>
          <w:lang w:val="en-ZA"/>
        </w:rPr>
      </w:r>
      <w:r>
        <w:rPr>
          <w:rFonts w:ascii="Gentium" w:hAnsi="Gentium" w:eastAsia="Gentium" w:cs="Gentium"/>
          <w:highlight w:val="none"/>
          <w:lang w:val="en-ZA"/>
        </w:rPr>
      </w:r>
      <w:r>
        <w:rPr>
          <w:rFonts w:ascii="Gentium" w:hAnsi="Gentium" w:eastAsia="Gentium" w:cs="Gentium"/>
          <w:highlight w:val="none"/>
          <w:lang w:val="en-ZA"/>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Torjesen analyzes the evidence for female leadership in the church as well as the process through which such roles were later inverted and made invisible. Streete takes up the issue of female martyrs as th</w:t>
      </w:r>
      <w:r>
        <w:rPr>
          <w:rFonts w:ascii="Gentium" w:hAnsi="Gentium" w:eastAsia="Gentium" w:cs="Gentium"/>
        </w:rPr>
        <w:t xml:space="preserve">e equivalent, and counterpart to, male divine men, showing how the narratives of female martyrs evince equal wonderworking qualities assigned to these women, showing how narratives of female martyrs encode developing social values and Christian discourse.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lang w:val="en-ZA"/>
        </w:rPr>
      </w:pPr>
      <w:r>
        <w:rPr>
          <w:rFonts w:ascii="Gentium" w:hAnsi="Gentium" w:eastAsia="Gentium" w:cs="Gentium"/>
          <w:lang w:val="en-ZA"/>
        </w:rPr>
      </w:r>
      <w:r>
        <w:rPr>
          <w:rFonts w:ascii="Gentium" w:hAnsi="Gentium" w:eastAsia="Gentium" w:cs="Gentium"/>
          <w:highlight w:val="none"/>
          <w:lang w:val="en-ZA"/>
        </w:rPr>
      </w:r>
      <w:r>
        <w:rPr>
          <w:rFonts w:ascii="Gentium" w:hAnsi="Gentium" w:eastAsia="Gentium" w:cs="Gentium"/>
          <w:highlight w:val="none"/>
          <w:lang w:val="en-ZA"/>
        </w:rPr>
      </w:r>
    </w:p>
    <w:p>
      <w:pPr>
        <w:pStyle w:val="1016"/>
        <w:pBdr/>
        <w:spacing w:after="0" w:afterAutospacing="0" w:before="0" w:beforeAutospacing="0"/>
        <w:ind/>
        <w:jc w:val="both"/>
        <w:rPr>
          <w:rFonts w:ascii="Gentium" w:hAnsi="Gentium" w:eastAsia="Gentium" w:cs="Gentium"/>
          <w:highlight w:val="none"/>
          <w:lang w:val="en-ZA"/>
        </w:rPr>
      </w:pPr>
      <w:r>
        <w:rPr>
          <w:rFonts w:ascii="Gentium" w:hAnsi="Gentium" w:eastAsia="Gentium" w:cs="Gentium"/>
          <w:lang w:val="en-ZA"/>
        </w:rPr>
        <w:t xml:space="preserve">Osiek and MacDonald study the gendered nature of space in antiquity with regard to women in the household context, and h</w:t>
      </w:r>
      <w:r>
        <w:rPr>
          <w:rFonts w:ascii="Gentium" w:hAnsi="Gentium" w:eastAsia="Gentium" w:cs="Gentium"/>
          <w:lang w:val="en-ZA"/>
        </w:rPr>
        <w:t xml:space="preserve">ow this spatiality shaped women’s lives in Christian household contexts, changing in the course of the first three centuries as the church gradually became a public institution. Women’s leadership roles became gradually occluded towards the fourth century.</w:t>
      </w:r>
      <w:r>
        <w:rPr>
          <w:rFonts w:ascii="Gentium" w:hAnsi="Gentium" w:eastAsia="Gentium" w:cs="Gentium"/>
          <w:highlight w:val="none"/>
          <w:lang w:val="en-ZA"/>
        </w:rPr>
      </w:r>
      <w:r>
        <w:rPr>
          <w:rFonts w:ascii="Gentium" w:hAnsi="Gentium" w:eastAsia="Gentium" w:cs="Gentium"/>
          <w:highlight w:val="none"/>
          <w:lang w:val="en-ZA"/>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Schüssler Fiorenza, Elisabeth. </w:t>
      </w:r>
      <w:r>
        <w:rPr>
          <w:rFonts w:ascii="Gentium" w:hAnsi="Gentium" w:eastAsia="Gentium" w:cs="Gentium"/>
          <w:i/>
          <w:iCs/>
          <w:sz w:val="24"/>
          <w:szCs w:val="24"/>
        </w:rPr>
        <w:t xml:space="preserve">In Memory of Her: a Feminist Theological Reconstruction of Christian Origins</w:t>
      </w:r>
      <w:r>
        <w:rPr>
          <w:rFonts w:ascii="Gentium" w:hAnsi="Gentium" w:eastAsia="Gentium" w:cs="Gentium"/>
          <w:sz w:val="24"/>
          <w:szCs w:val="24"/>
        </w:rPr>
        <w:t xml:space="preserve">. 2nd edition with new introduction. New York, N.Y.: Crossroad, 1983.</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Argues for the need to recover the legacy of women and sets out a relevant methodology. Unearthing </w:t>
      </w:r>
      <w:r>
        <w:rPr>
          <w:rFonts w:ascii="Gentium" w:hAnsi="Gentium" w:eastAsia="Gentium" w:cs="Gentium"/>
          <w:sz w:val="24"/>
          <w:szCs w:val="24"/>
        </w:rPr>
        <w:t xml:space="preserve">traces of gender equality in the earliest movements of Jesus followers and into the apostolic era, she shows how women were steadily subordinated in patriarchal households and the emerging church. Closes with reflection on a biblical-feminist spirituality.</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Kraemer, Ross Shepard, and Mary Rose D’Angelo, eds. </w:t>
      </w:r>
      <w:r>
        <w:rPr>
          <w:rFonts w:ascii="Gentium" w:hAnsi="Gentium" w:eastAsia="Gentium" w:cs="Gentium"/>
          <w:i/>
          <w:iCs/>
          <w:sz w:val="24"/>
          <w:szCs w:val="24"/>
        </w:rPr>
        <w:t xml:space="preserve">Women and Christian Origins. A Reader</w:t>
      </w:r>
      <w:r>
        <w:rPr>
          <w:rFonts w:ascii="Gentium" w:hAnsi="Gentium" w:eastAsia="Gentium" w:cs="Gentium"/>
          <w:sz w:val="24"/>
          <w:szCs w:val="24"/>
        </w:rPr>
        <w:t xml:space="preserve">. New York, N.Y.: Oxford University Press, 1999. </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Selection of scholarly essays recovering women in antiquity and in early Christianity, arranged in five thematic sections: on women in the ancient Mediterranean</w:t>
      </w:r>
      <w:r>
        <w:rPr>
          <w:rFonts w:ascii="Gentium" w:hAnsi="Gentium" w:eastAsia="Gentium" w:cs="Gentium"/>
          <w:sz w:val="24"/>
          <w:szCs w:val="24"/>
        </w:rPr>
        <w:t xml:space="preserve"> world, on Mary Magdalene, and the representations of women in the various Gospels and gospel layers; on women in Pauline literature, and issues of gender; and on women in Gnostic traditions, women in ministry, and women as sources of religious knowledge. </w:t>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eastAsia="Gentium" w:cs="Gentium"/>
          <w:sz w:val="24"/>
          <w:szCs w:val="24"/>
        </w:rPr>
        <w:t xml:space="preserve">Torjesen, Karen Jo. </w:t>
      </w:r>
      <w:r>
        <w:rPr>
          <w:rFonts w:ascii="Gentium" w:hAnsi="Gentium" w:eastAsia="Gentium" w:cs="Gentium"/>
          <w:i/>
          <w:iCs/>
          <w:sz w:val="24"/>
          <w:szCs w:val="24"/>
        </w:rPr>
        <w:t xml:space="preserve">When Women Were Priests: Women’s Leadership in the Early Church and the Scandal of Their Subordination in the Rise of Christianity</w:t>
      </w:r>
      <w:r>
        <w:rPr>
          <w:rFonts w:ascii="Gentium" w:hAnsi="Gentium" w:eastAsia="Gentium" w:cs="Gentium"/>
          <w:sz w:val="24"/>
          <w:szCs w:val="24"/>
        </w:rPr>
        <w:t xml:space="preserve">. San Francisco, Calif.: HarperSanFrancisco, 1993.</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Torjesen investigates various aspects of – and evidence for – female leadership in early Christianity mapping the various functions and roles of women in early Christian groups. Shows h</w:t>
      </w:r>
      <w:r>
        <w:rPr>
          <w:rFonts w:ascii="Gentium" w:hAnsi="Gentium" w:eastAsia="Gentium" w:cs="Gentium"/>
          <w:sz w:val="24"/>
          <w:szCs w:val="24"/>
        </w:rPr>
        <w:t xml:space="preserve">ow women were relegated to the private sphere of the household when the church became public in the context of exclusive male leadership via new gender valorization and cultured sexuality. Even images of god encoded cultural values of gender and sexuality.</w:t>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7"/>
        <w:pBdr/>
        <w:spacing/>
        <w:ind/>
        <w:jc w:val="both"/>
        <w:rPr>
          <w:rFonts w:ascii="Gentium" w:hAnsi="Gentium" w:cs="Gentium"/>
          <w:sz w:val="24"/>
          <w:szCs w:val="24"/>
        </w:rPr>
      </w:pPr>
      <w:r>
        <w:rPr>
          <w:rFonts w:ascii="Gentium" w:hAnsi="Gentium" w:eastAsia="Gentium" w:cs="Gentium"/>
          <w:sz w:val="24"/>
          <w:szCs w:val="24"/>
        </w:rPr>
        <w:t xml:space="preserve">Streete, Gail Corrington. </w:t>
      </w:r>
      <w:r>
        <w:rPr>
          <w:rFonts w:ascii="Gentium" w:hAnsi="Gentium" w:eastAsia="Gentium" w:cs="Gentium"/>
          <w:i/>
          <w:iCs/>
          <w:sz w:val="24"/>
          <w:szCs w:val="24"/>
        </w:rPr>
        <w:t xml:space="preserve">Redeemed Bodies: Women Martyrs in Early Christianity</w:t>
      </w:r>
      <w:r>
        <w:rPr>
          <w:rFonts w:ascii="Gentium" w:hAnsi="Gentium" w:eastAsia="Gentium" w:cs="Gentium"/>
          <w:sz w:val="24"/>
          <w:szCs w:val="24"/>
        </w:rPr>
        <w:t xml:space="preserve">. Louisville, Ky: Westminster John Knox Press, 2009.</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Streete examines the character of female martyr narratives in early Christianity and </w:t>
      </w:r>
      <w:r>
        <w:rPr>
          <w:rFonts w:ascii="Gentium" w:hAnsi="Gentium" w:eastAsia="Gentium" w:cs="Gentium"/>
          <w:sz w:val="24"/>
          <w:szCs w:val="24"/>
        </w:rPr>
        <w:t xml:space="preserve">their transmission in tradition. Considers the effect of martyr narratives with a close analysis of the traditions of Perpetua, Felicitas, and Thecla. Concluding chapter answers the question why these martyr narratives matter to contemporary Christianity. </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Osiek, Carolyn, and Margaret Y. MacDonald. </w:t>
      </w:r>
      <w:r>
        <w:rPr>
          <w:rFonts w:ascii="Gentium" w:hAnsi="Gentium" w:eastAsia="Gentium" w:cs="Gentium"/>
          <w:i/>
          <w:iCs/>
        </w:rPr>
        <w:t xml:space="preserve">A Woman’s Place: House Churches in Earliest Christianity</w:t>
      </w:r>
      <w:r>
        <w:rPr>
          <w:rFonts w:ascii="Gentium" w:hAnsi="Gentium" w:eastAsia="Gentium" w:cs="Gentium"/>
        </w:rPr>
        <w:t xml:space="preserve">. Minneapolis, Minn.: Fortress Press, 2006.</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Argues for the contemporary significance of a revision of women’s role in the making of early Christianity. Examines the spatiality of the lives of early Chri</w:t>
      </w:r>
      <w:r>
        <w:rPr>
          <w:rFonts w:ascii="Gentium" w:hAnsi="Gentium" w:eastAsia="Gentium" w:cs="Gentium"/>
        </w:rPr>
        <w:t xml:space="preserve">stian women in the context of Graeco-Roman households, how it shaped their lives. Special foci are the various domains in which women’s lives played out, with a special focus on the neglected but important agency of women in the expansion of Christianity. </w:t>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940"/>
        <w:pBdr/>
        <w:spacing/>
        <w:ind/>
        <w:rPr>
          <w:rFonts w:ascii="Gentium" w:hAnsi="Gentium" w:cs="Gentium"/>
        </w:rPr>
      </w:pPr>
      <w:r/>
      <w:bookmarkStart w:id="40" w:name="_Toc414386085"/>
      <w:r>
        <w:rPr>
          <w:rFonts w:ascii="Gentium" w:hAnsi="Gentium" w:eastAsia="Gentium" w:cs="Gentium"/>
        </w:rPr>
        <w:t xml:space="preserve">C</w:t>
      </w:r>
      <w:r>
        <w:rPr>
          <w:rFonts w:ascii="Gentium" w:hAnsi="Gentium" w:eastAsia="Gentium" w:cs="Gentium"/>
          <w:lang w:val="en-US"/>
        </w:rPr>
        <w:t xml:space="preserve">hristian Origins</w:t>
      </w:r>
      <w:bookmarkEnd w:id="40"/>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Most of the works listed under various rubrics</w:t>
      </w:r>
      <w:r>
        <w:rPr>
          <w:rFonts w:ascii="Gentium" w:hAnsi="Gentium" w:eastAsia="Gentium" w:cs="Gentium"/>
        </w:rPr>
        <w:t xml:space="preserve"> in this bibliographic essay attempt to answer the question as to how Christianity originated and spread through the Roman Empire. However, under the rubric of Christian Origins are listed those works that explicitly theorize Christian origins by means of </w:t>
      </w:r>
      <w:r>
        <w:rPr>
          <w:rFonts w:ascii="Gentium" w:hAnsi="Gentium" w:eastAsia="Gentium" w:cs="Gentium"/>
        </w:rPr>
        <w:t xml:space="preserve">contemporary theories of religion, particularly social theories of religion, which include significant emphases on method and redescriptive scholarship, mythmaking, invention of tradition, and cultural identity making. The nature of the contents, theories,</w:t>
      </w:r>
      <w:r>
        <w:rPr>
          <w:rFonts w:ascii="Gentium" w:hAnsi="Gentium" w:eastAsia="Gentium" w:cs="Gentium"/>
        </w:rPr>
        <w:t xml:space="preserve"> and conclusions expressed in some of the studies listed here, because of the unapologetic naturalistic explanations of Christian origins, led mostly to a contentious reception but they are nevertheless important resources on rethinking Christian origins.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Riley, Macmullen and Cameron are somewhat independent of the other works listed here. Riley broadens the conception of Christian origins as linear development from a “Jewish background” to argue, in addition, for the productive contributions of the wid</w:t>
      </w:r>
      <w:r>
        <w:rPr>
          <w:rFonts w:ascii="Gentium" w:hAnsi="Gentium" w:eastAsia="Gentium" w:cs="Gentium"/>
        </w:rPr>
        <w:t xml:space="preserve">er Graeco-Roman/Mediterranean world to the construction of Christian discourse. For this purpose he distinguishes between “history” (self-narration or mythography) and “genealogy” (account of the factors contributing to the making of early Christianity).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Macmullen wrote a history of the making of Christianit</w:t>
      </w:r>
      <w:r>
        <w:rPr>
          <w:rFonts w:ascii="Gentium" w:hAnsi="Gentium" w:eastAsia="Gentium" w:cs="Gentium"/>
        </w:rPr>
        <w:t xml:space="preserve">y from the viewpoint of popular religion and what conversion meant in that context. Cameron argued, in what has since become a classic and much-cited work, that there was from the early stages a reciprocal relation of influence between Christian discourse </w:t>
      </w:r>
      <w:r>
        <w:rPr>
          <w:rFonts w:ascii="Gentium" w:hAnsi="Gentium" w:eastAsia="Gentium" w:cs="Gentium"/>
        </w:rPr>
        <w:t xml:space="preserve">and imperial discourse. The representation of Christian truth was embedded in the general culture of the Roman Empire. In pursuing her argument she draws on a variety of contemporary theory – discourse theory, modern rhetoric, cultural studies, and so on.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rPr>
      </w:pPr>
      <w:r>
        <w:rPr>
          <w:rFonts w:ascii="Gentium" w:hAnsi="Gentium" w:eastAsia="Gentium" w:cs="Gentium"/>
        </w:rPr>
        <w:t xml:space="preserve">Stark published a number of works explaining Christian origins from a sociological perspective. The work listed here received substantial attention for his quantifying of the growth of Christianity and the material conditions for that growth. </w:t>
      </w:r>
      <w:r>
        <w:rPr>
          <w:rFonts w:ascii="Gentium" w:hAnsi="Gentium" w:eastAsia="Gentium" w:cs="Gentium"/>
        </w:rPr>
      </w:r>
      <w:r>
        <w:rPr>
          <w:rFonts w:ascii="Gentium" w:hAnsi="Gentium" w:eastAsia="Gentium" w:cs="Gentium"/>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t xml:space="preserve">Mack is an influential figure among s</w:t>
      </w:r>
      <w:r>
        <w:rPr>
          <w:rFonts w:ascii="Gentium" w:hAnsi="Gentium" w:eastAsia="Gentium" w:cs="Gentium"/>
        </w:rPr>
        <w:t xml:space="preserve">cholars predisposed to redescriptive theorizing of early Christianity. The work here exemplifies his use of a social theory of religion and reflections on mythmaking and social formation in explaining the making of Christianity as a natural human process. </w:t>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eastAsia="Gentium" w:cs="Gentium"/>
          <w:highlight w:val="none"/>
        </w:rPr>
      </w:pPr>
      <w:r>
        <w:rPr>
          <w:rFonts w:ascii="Gentium" w:hAnsi="Gentium" w:eastAsia="Gentium" w:cs="Gentium"/>
        </w:rPr>
        <w:t xml:space="preserve">The two works by </w:t>
      </w:r>
      <w:r>
        <w:rPr>
          <w:rFonts w:ascii="Gentium" w:hAnsi="Gentium" w:eastAsia="Gentium" w:cs="Gentium"/>
          <w:iCs/>
        </w:rPr>
        <w:t xml:space="preserve">Cameron and Miller, eds., are the culmination of multiyear projects that ran in the context of the Society of Biblical Literature. They are in</w:t>
      </w:r>
      <w:r>
        <w:rPr>
          <w:rFonts w:ascii="Gentium" w:hAnsi="Gentium" w:eastAsia="Gentium" w:cs="Gentium"/>
          <w:iCs/>
        </w:rPr>
        <w:t xml:space="preserve">cluded here because of the strong emphasis on theory in service of redescription of Christian origins. While focusing on the earliest phases of the making of Christian tradition, they also significantly reflect on metatheoretical issues of historiography. </w:t>
      </w:r>
      <w:r>
        <w:rPr>
          <w:rFonts w:ascii="Gentium" w:hAnsi="Gentium" w:eastAsia="Gentium" w:cs="Gentium"/>
          <w:highlight w:val="none"/>
        </w:rPr>
      </w:r>
      <w:r>
        <w:rPr>
          <w:rFonts w:ascii="Gentium" w:hAnsi="Gentium" w:eastAsia="Gentium" w:cs="Gentium"/>
          <w:highlight w:val="none"/>
        </w:rPr>
      </w:r>
    </w:p>
    <w:p>
      <w:pPr>
        <w:pStyle w:val="1016"/>
        <w:pBdr/>
        <w:spacing w:after="0" w:afterAutospacing="0" w:before="0" w:beforeAutospacing="0"/>
        <w:ind/>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eastAsia="Gentium" w:cs="Gentium"/>
          <w:sz w:val="24"/>
          <w:szCs w:val="24"/>
        </w:rPr>
        <w:t xml:space="preserve">Riley, Gregory J. </w:t>
      </w:r>
      <w:r>
        <w:rPr>
          <w:rFonts w:ascii="Gentium" w:hAnsi="Gentium" w:eastAsia="Gentium" w:cs="Gentium"/>
          <w:i/>
          <w:iCs/>
          <w:sz w:val="24"/>
          <w:szCs w:val="24"/>
        </w:rPr>
        <w:t xml:space="preserve">The River of God: A New History of Christian Origins</w:t>
      </w:r>
      <w:r>
        <w:rPr>
          <w:rFonts w:ascii="Gentium" w:hAnsi="Gentium" w:eastAsia="Gentium" w:cs="Gentium"/>
          <w:sz w:val="24"/>
          <w:szCs w:val="24"/>
        </w:rPr>
        <w:t xml:space="preserve">. San Francisco, Calif.: HarperSanFrancisco, 2001.</w:t>
      </w:r>
      <w:r>
        <w:rPr>
          <w:rFonts w:ascii="Gentium" w:hAnsi="Gentium" w:cs="Gentium"/>
          <w:sz w:val="24"/>
          <w:szCs w:val="24"/>
        </w:rPr>
      </w:r>
      <w:r>
        <w:rPr>
          <w:rFonts w:ascii="Gentium" w:hAnsi="Gentium" w:cs="Gentium"/>
          <w:sz w:val="24"/>
          <w:szCs w:val="24"/>
        </w:rPr>
      </w:r>
    </w:p>
    <w:p>
      <w:pPr>
        <w:pStyle w:val="937"/>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Introduction on the difference between history and genealogy, history as self-narrative and genealogy as account of factors determining origins (the latter the stance of the book); Graeco-Roman/Mediterranean contr</w:t>
      </w:r>
      <w:r>
        <w:rPr>
          <w:rFonts w:ascii="Gentium" w:hAnsi="Gentium" w:eastAsia="Gentium" w:cs="Gentium"/>
          <w:sz w:val="24"/>
          <w:szCs w:val="24"/>
        </w:rPr>
        <w:t xml:space="preserve">ibutions to Christian discourse – monotheism, divine trinities, demonology and apocalypticism, body discourses and practices, conceptions of saviours and salvation. Conclusion on the contemporary significance of multiple and varied “roots” of Christianity.</w:t>
      </w:r>
      <w:r>
        <w:rPr>
          <w:rFonts w:ascii="Gentium" w:hAnsi="Gentium" w:cs="Gentium"/>
          <w:sz w:val="24"/>
          <w:szCs w:val="24"/>
        </w:rPr>
      </w:r>
      <w:r>
        <w:rPr>
          <w:rFonts w:ascii="Gentium" w:hAnsi="Gentium" w:cs="Gentium"/>
          <w:sz w:val="24"/>
          <w:szCs w:val="24"/>
        </w:rPr>
      </w:r>
    </w:p>
    <w:p>
      <w:pPr>
        <w:pStyle w:val="937"/>
        <w:pBdr/>
        <w:spacing w:after="0" w:before="0" w:line="240" w:lineRule="auto"/>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Macmullen, Ramsay. </w:t>
      </w:r>
      <w:r>
        <w:rPr>
          <w:rFonts w:ascii="Gentium" w:hAnsi="Gentium" w:eastAsia="Gentium" w:cs="Gentium"/>
          <w:i/>
          <w:iCs/>
        </w:rPr>
        <w:t xml:space="preserve">Christianizing the Roman Empire: A.D. 100-400</w:t>
      </w:r>
      <w:r>
        <w:rPr>
          <w:rFonts w:ascii="Gentium" w:hAnsi="Gentium" w:eastAsia="Gentium" w:cs="Gentium"/>
        </w:rPr>
        <w:t xml:space="preserve">. New Haven, Conn.: Yale University Press, 1984.</w:t>
      </w:r>
      <w:r>
        <w:rPr>
          <w:rFonts w:ascii="Gentium" w:hAnsi="Gentium" w:cs="Gentium"/>
        </w:rPr>
      </w:r>
      <w:r>
        <w:rPr>
          <w:rFonts w:ascii="Gentium" w:hAnsi="Gentium" w:cs="Gentium"/>
        </w:rPr>
      </w:r>
    </w:p>
    <w:p>
      <w:pPr>
        <w:pStyle w:val="1016"/>
        <w:pBdr/>
        <w:spacing w:after="0" w:afterAutospacing="0" w:before="0" w:beforeAutospacing="0"/>
        <w:ind w:right="0" w:firstLine="0" w:left="709"/>
        <w:jc w:val="both"/>
        <w:rPr>
          <w:rFonts w:ascii="Gentium" w:hAnsi="Gentium" w:cs="Gentium"/>
        </w:rPr>
      </w:pPr>
      <w:r>
        <w:rPr>
          <w:rFonts w:ascii="Gentium" w:hAnsi="Gentium" w:eastAsia="Gentium" w:cs="Gentium"/>
        </w:rPr>
        <w:t xml:space="preserve">Focuses most prominently </w:t>
      </w:r>
      <w:r>
        <w:rPr>
          <w:rFonts w:ascii="Gentium" w:hAnsi="Gentium" w:eastAsia="Gentium" w:cs="Gentium"/>
        </w:rPr>
        <w:t xml:space="preserve">on popular and folk religion and the intersection between these and early Christianity; exposé of the multileveled process of Christianization with some discussion of the role of intellectuals, the newly Christianized Roman emperor, and ways of conversion.</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Style w:val="984"/>
          <w:rFonts w:ascii="Gentium" w:hAnsi="Gentium" w:eastAsia="Gentium" w:cs="Gentium"/>
        </w:rPr>
        <w:t xml:space="preserve">Cameron</w:t>
      </w:r>
      <w:r>
        <w:rPr>
          <w:rFonts w:ascii="Gentium" w:hAnsi="Gentium" w:eastAsia="Gentium" w:cs="Gentium"/>
        </w:rPr>
        <w:t xml:space="preserve">, A. </w:t>
      </w:r>
      <w:r>
        <w:rPr>
          <w:rFonts w:ascii="Gentium" w:hAnsi="Gentium" w:eastAsia="Gentium" w:cs="Gentium"/>
          <w:i/>
          <w:iCs/>
        </w:rPr>
        <w:t xml:space="preserve">Christianity and the Rhetoric of Empire: The Development of Christian Discourse</w:t>
      </w:r>
      <w:r>
        <w:rPr>
          <w:rFonts w:ascii="Gentium" w:hAnsi="Gentium" w:eastAsia="Gentium" w:cs="Gentium"/>
        </w:rPr>
        <w:t xml:space="preserve">. Sather Classical Lectures, 55. Berkeley, Calif.; London: University of California Press, 1991.</w:t>
      </w:r>
      <w:r>
        <w:rPr>
          <w:rFonts w:ascii="Gentium" w:hAnsi="Gentium" w:cs="Gentium"/>
        </w:rPr>
      </w:r>
      <w:r>
        <w:rPr>
          <w:rFonts w:ascii="Gentium" w:hAnsi="Gentium" w:cs="Gentium"/>
        </w:rPr>
      </w:r>
    </w:p>
    <w:p>
      <w:pPr>
        <w:pStyle w:val="937"/>
        <w:pBdr/>
        <w:spacing w:after="0" w:before="0" w:line="240" w:lineRule="auto"/>
        <w:ind w:left="709"/>
        <w:jc w:val="both"/>
        <w:rPr>
          <w:rFonts w:ascii="Gentium" w:hAnsi="Gentium" w:cs="Gentium"/>
        </w:rPr>
      </w:pPr>
      <w:r>
        <w:rPr>
          <w:rFonts w:ascii="Gentium" w:hAnsi="Gentium" w:eastAsia="Gentium" w:cs="Gentium"/>
          <w:sz w:val="24"/>
          <w:szCs w:val="24"/>
        </w:rPr>
        <w:t xml:space="preserve">Cameron focuses on Christian rhetoric as sets of representations of Christian beliefs and their relation the general cultural context as well as on its effective force and how its narrative world</w:t>
      </w:r>
      <w:r>
        <w:rPr>
          <w:rFonts w:ascii="Gentium" w:hAnsi="Gentium" w:eastAsia="Gentium" w:cs="Gentium"/>
          <w:sz w:val="24"/>
          <w:szCs w:val="24"/>
        </w:rPr>
        <w:t xml:space="preserve"> constructed the Christian world. In the way Christian discourse portrayed divinity and appropriated the Jewish and Graeco-Roman past, themes and styles it embraced imperial ideology, created new kinds of Christian cultural representations helped create a </w:t>
      </w:r>
      <w:r>
        <w:rPr>
          <w:rFonts w:ascii="Gentium" w:hAnsi="Gentium" w:eastAsia="Gentium" w:cs="Gentium"/>
          <w:sz w:val="24"/>
          <w:szCs w:val="24"/>
          <w:lang w:val="en-ZA" w:eastAsia="en-ZA"/>
        </w:rPr>
        <w:t xml:space="preserve">Christian worldview. </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 xml:space="preserve">Stark, Rodney. </w:t>
      </w:r>
      <w:r>
        <w:rPr>
          <w:rFonts w:ascii="Gentium" w:hAnsi="Gentium" w:eastAsia="Gentium" w:cs="Gentium"/>
          <w:i/>
          <w:iCs/>
        </w:rPr>
        <w:t xml:space="preserve">The Rise of Christianity: A Sociologist Reconsiders History</w:t>
      </w:r>
      <w:r>
        <w:rPr>
          <w:rFonts w:ascii="Gentium" w:hAnsi="Gentium" w:eastAsia="Gentium" w:cs="Gentium"/>
        </w:rPr>
        <w:t xml:space="preserve">. Princeton, N.J.; Chichester: Princeton Univ. Press, 1996.</w:t>
      </w:r>
      <w:r>
        <w:rPr>
          <w:rFonts w:ascii="Gentium" w:hAnsi="Gentium" w:cs="Gentium"/>
        </w:rPr>
      </w:r>
      <w:r>
        <w:rPr>
          <w:rFonts w:ascii="Gentium" w:hAnsi="Gentium" w:cs="Gentium"/>
        </w:rPr>
      </w:r>
    </w:p>
    <w:p>
      <w:pPr>
        <w:pStyle w:val="1016"/>
        <w:pBdr/>
        <w:spacing w:after="0" w:afterAutospacing="0" w:before="0" w:beforeAutospacing="0"/>
        <w:ind w:right="0" w:hanging="709" w:left="709"/>
        <w:jc w:val="both"/>
        <w:rPr>
          <w:rFonts w:ascii="Gentium" w:hAnsi="Gentium" w:cs="Gentium"/>
        </w:rPr>
      </w:pPr>
      <w:r>
        <w:rPr>
          <w:rFonts w:ascii="Gentium" w:hAnsi="Gentium" w:eastAsia="Gentium" w:cs="Gentium"/>
        </w:rPr>
        <w:tab/>
        <w:t xml:space="preserve">Based on sociolo</w:t>
      </w:r>
      <w:r>
        <w:rPr>
          <w:rFonts w:ascii="Gentium" w:hAnsi="Gentium" w:eastAsia="Gentium" w:cs="Gentium"/>
        </w:rPr>
        <w:t xml:space="preserve">gical theory and quantitative analysis, surveys the role of social networks, class growth, and women in the growth of Christianity and to explain the success of conversion. Concludes that central doctrines enabled better social relations and organizations.</w:t>
      </w:r>
      <w:r>
        <w:rPr>
          <w:rFonts w:ascii="Gentium" w:hAnsi="Gentium" w:cs="Gentium"/>
        </w:rPr>
      </w:r>
      <w:r>
        <w:rPr>
          <w:rFonts w:ascii="Gentium" w:hAnsi="Gentium" w:cs="Gentium"/>
        </w:rPr>
      </w:r>
    </w:p>
    <w:p>
      <w:pPr>
        <w:pStyle w:val="1017"/>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pPr>
        <w:pStyle w:val="937"/>
        <w:pBdr/>
        <w:spacing/>
        <w:ind/>
        <w:rPr>
          <w:rFonts w:ascii="Gentium" w:hAnsi="Gentium"/>
        </w:rPr>
      </w:pPr>
      <w:r>
        <w:rPr>
          <w:rFonts w:ascii="Gentium" w:hAnsi="Gentium"/>
        </w:rPr>
      </w:r>
      <w:r>
        <w:rPr>
          <w:rFonts w:ascii="Gentium" w:hAnsi="Gentium"/>
        </w:rPr>
      </w:r>
      <w:r>
        <w:rPr>
          <w:rFonts w:ascii="Gentium" w:hAnsi="Gentium"/>
        </w:rPr>
      </w:r>
    </w:p>
    <w:p>
      <w:pPr>
        <w:pStyle w:val="937"/>
        <w:pBdr/>
        <w:spacing/>
        <w:ind/>
        <w:rPr>
          <w:rFonts w:ascii="Gentium" w:hAnsi="Gentium"/>
        </w:rPr>
      </w:pPr>
      <w:r>
        <w:rPr>
          <w:rFonts w:ascii="Gentium" w:hAnsi="Gentium"/>
        </w:rPr>
      </w:r>
      <w:r>
        <w:rPr>
          <w:rFonts w:ascii="Gentium" w:hAnsi="Gentium"/>
        </w:rPr>
      </w:r>
      <w:r>
        <w:rPr>
          <w:rFonts w:ascii="Gentium" w:hAnsi="Gentium"/>
        </w:rPr>
      </w:r>
    </w:p>
    <w:sectPr>
      <w:headerReference w:type="default" r:id="rId9"/>
      <w:headerReference w:type="even" r:id="rId10"/>
      <w:headerReference w:type="first" r:id="rId11"/>
      <w:footerReference w:type="default" r:id="rId12"/>
      <w:footerReference w:type="even" r:id="rId13"/>
      <w:footerReference w:type="first" r:id="rId14"/>
      <w:footnotePr/>
      <w:endnotePr/>
      <w:type w:val="nextPage"/>
      <w:pgSz w:h="16838" w:orient="portrait" w:w="11906"/>
      <w:pgMar w:top="624" w:right="567" w:bottom="766" w:left="1418" w:header="567" w:footer="709" w:gutter="0"/>
      <w:cols w:num="1" w:sep="0" w:space="1701"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font>
  <w:font w:name="Courier New">
    <w:panose1 w:val="02070309020205020404"/>
  </w:font>
  <w:font w:name="Mangal">
    <w:panose1 w:val="00000400000000000000"/>
  </w:font>
  <w:font w:name="Wingdings">
    <w:panose1 w:val="05000000000000000000"/>
  </w:font>
  <w:font w:name="Liberation Sans">
    <w:panose1 w:val="020B0604020202020204"/>
  </w:font>
  <w:font w:name="Tahoma">
    <w:panose1 w:val="020B0604030504040204"/>
  </w:font>
  <w:font w:name="Arial">
    <w:panose1 w:val="020B0604020202020204"/>
  </w:font>
  <w:font w:name="Albertus">
    <w:panose1 w:val="020E0702040304020204"/>
  </w:font>
  <w:font w:name="Gentium">
    <w:panose1 w:val="02000503060000020004"/>
  </w:font>
  <w:font w:name="Microsoft YaHei">
    <w:panose1 w:val="020B0503020204020204"/>
  </w:font>
  <w:font w:name="Times New Roman">
    <w:panose1 w:val="020206030504050203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2"/>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2"/>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2"/>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37"/>
      <w:pBdr/>
      <w:spacing/>
      <w:ind w:left="851"/>
      <w:rPr>
        <w:rFonts w:ascii="Arial" w:hAnsi="Arial" w:cs="Arial"/>
        <w:b/>
        <w:bCs/>
        <w:color w:val="000041"/>
        <w:sz w:val="30"/>
        <w:szCs w:val="30"/>
      </w:rPr>
    </w:pPr>
    <w:r>
      <mc:AlternateContent>
        <mc:Choice Requires="wpg">
          <w:drawing>
            <wp:anchor xmlns:wp="http://schemas.openxmlformats.org/drawingml/2006/wordprocessingDrawing" xmlns:wp14="http://schemas.microsoft.com/office/word/2010/wordprocessingDrawing" distT="0" distB="0" distL="0" distR="0" simplePos="0" relativeHeight="216" behindDoc="1" locked="0" layoutInCell="1" allowOverlap="1">
              <wp:simplePos x="0" y="0"/>
              <wp:positionH relativeFrom="column">
                <wp:posOffset>-323850</wp:posOffset>
              </wp:positionH>
              <wp:positionV relativeFrom="paragraph">
                <wp:posOffset>-76200</wp:posOffset>
              </wp:positionV>
              <wp:extent cx="647700" cy="607060"/>
              <wp:effectExtent l="0" t="0" r="0" b="0"/>
              <wp:wrapNone/>
              <wp:docPr id="1" name="Imagine 1" descr="SIGLA FINALA 3x3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1" descr="SIGLA FINALA 3x3cm"/>
                      <pic:cNvPicPr>
                        <a:picLocks noChangeAspect="1"/>
                      </pic:cNvPicPr>
                      <pic:nvPr/>
                    </pic:nvPicPr>
                    <pic:blipFill rotWithShape="1">
                      <a:blip r:embed="rId1"/>
                      <a:stretch/>
                    </pic:blipFill>
                    <pic:spPr bwMode="auto">
                      <a:xfrm>
                        <a:off x="0" y="0"/>
                        <a:ext cx="647700" cy="607060"/>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16;o:allowoverlap:true;o:allowincell:true;mso-position-horizontal-relative:text;margin-left:-25.50pt;mso-position-horizontal:absolute;mso-position-vertical-relative:text;margin-top:-6.00pt;mso-position-vertical:absolute;width:51.00pt;height:47.80pt;mso-wrap-distance-left:0.00pt;mso-wrap-distance-top:0.00pt;mso-wrap-distance-right:0.00pt;mso-wrap-distance-bottom:0.00pt;z-index:1;" stroked="false">
              <v:imagedata r:id="rId1" o:title=""/>
              <o:lock v:ext="edit" rotation="t"/>
            </v:shape>
          </w:pict>
        </mc:Fallback>
      </mc:AlternateContent>
    </w:r>
    <w:r>
      <w:rPr>
        <w:rFonts w:ascii="Arial" w:hAnsi="Arial" w:cs="Arial"/>
        <w:b/>
        <w:bCs/>
        <w:color w:val="000041"/>
        <w:sz w:val="30"/>
        <w:szCs w:val="30"/>
      </w:rPr>
      <w:t xml:space="preserve">I</w:t>
    </w:r>
    <w:r>
      <w:rPr>
        <w:rFonts w:ascii="Arial" w:hAnsi="Arial" w:cs="Arial"/>
        <w:b/>
        <w:bCs/>
        <w:color w:val="000041"/>
        <w:sz w:val="30"/>
        <w:szCs w:val="30"/>
        <w:lang w:val="en-US"/>
      </w:rPr>
      <w:t xml:space="preserve">TBB - </w:t>
    </w:r>
    <w:r>
      <w:rPr>
        <w:rFonts w:ascii="Arial" w:hAnsi="Arial" w:cs="Arial"/>
        <w:b/>
        <w:iCs/>
        <w:color w:val="000041"/>
      </w:rPr>
      <w:t xml:space="preserve">Facultatea de Teologie Baptistă – Departamentul de Teologie Baptistă Pastorală</w:t>
    </w:r>
    <w:r>
      <w:rPr>
        <w:rFonts w:ascii="Arial" w:hAnsi="Arial" w:cs="Arial"/>
        <w:b/>
        <w:bCs/>
        <w:color w:val="000041"/>
        <w:sz w:val="30"/>
        <w:szCs w:val="30"/>
      </w:rPr>
    </w:r>
    <w:r>
      <w:rPr>
        <w:rFonts w:ascii="Arial" w:hAnsi="Arial" w:cs="Arial"/>
        <w:b/>
        <w:bCs/>
        <w:color w:val="000041"/>
        <w:sz w:val="30"/>
        <w:szCs w:val="30"/>
      </w:rPr>
    </w:r>
  </w:p>
  <w:p>
    <w:pPr>
      <w:pStyle w:val="937"/>
      <w:pBdr/>
      <w:spacing w:after="0" w:before="60"/>
      <w:ind w:left="851"/>
      <w:rPr>
        <w:rFonts w:ascii="Arial" w:hAnsi="Arial" w:cs="Arial"/>
        <w:color w:val="000041"/>
        <w:sz w:val="18"/>
        <w:szCs w:val="18"/>
      </w:rPr>
    </w:pPr>
    <w:r>
      <w:rPr>
        <w:rFonts w:ascii="Arial" w:hAnsi="Arial" w:cs="Arial"/>
        <w:color w:val="000041"/>
        <w:sz w:val="18"/>
        <w:szCs w:val="18"/>
      </w:rPr>
      <w:t xml:space="preserve">Str. Berzei, nr.29, sector 1, 010251, Bucureşti; </w:t>
    </w:r>
    <w:r>
      <w:rPr>
        <w:rFonts w:ascii="Arial" w:hAnsi="Arial" w:cs="Arial"/>
        <w:color w:val="000041"/>
        <w:sz w:val="18"/>
        <w:szCs w:val="18"/>
      </w:rPr>
    </w:r>
    <w:r>
      <w:rPr>
        <w:rFonts w:ascii="Arial" w:hAnsi="Arial" w:cs="Arial"/>
        <w:color w:val="000041"/>
        <w:sz w:val="18"/>
        <w:szCs w:val="18"/>
      </w:rPr>
    </w:r>
  </w:p>
  <w:p>
    <w:pPr>
      <w:pStyle w:val="937"/>
      <w:pBdr/>
      <w:tabs>
        <w:tab w:val="clear" w:leader="none" w:pos="432"/>
        <w:tab w:val="left" w:leader="none" w:pos="1530"/>
      </w:tabs>
      <w:spacing/>
      <w:ind w:left="851"/>
      <w:rPr>
        <w:rFonts w:ascii="Arial" w:hAnsi="Arial" w:cs="Arial"/>
        <w:color w:val="000041"/>
        <w:sz w:val="18"/>
        <w:szCs w:val="18"/>
        <w:lang w:val="en-GB"/>
      </w:rPr>
    </w:pPr>
    <w:r>
      <w:rPr>
        <w:rFonts w:ascii="Arial" w:hAnsi="Arial" w:cs="Arial"/>
        <w:color w:val="000041"/>
        <w:sz w:val="18"/>
        <w:szCs w:val="18"/>
      </w:rPr>
      <w:t xml:space="preserve">Tel. 021-3159108,  Fax 021-3181593,  E-mail: </w:t>
    </w:r>
    <w:hyperlink r:id="rId2" w:tooltip="mailto:office@itb.ro" w:history="1">
      <w:r>
        <w:rPr>
          <w:rStyle w:val="976"/>
          <w:rFonts w:ascii="Arial" w:hAnsi="Arial" w:cs="Arial"/>
          <w:color w:val="000041"/>
          <w:sz w:val="18"/>
          <w:szCs w:val="18"/>
          <w:u w:val="none"/>
        </w:rPr>
        <w:t xml:space="preserve">office@itb.ro</w:t>
      </w:r>
    </w:hyperlink>
    <w:r>
      <w:rPr>
        <w:rFonts w:ascii="Arial" w:hAnsi="Arial" w:cs="Arial"/>
        <w:color w:val="000041"/>
        <w:sz w:val="18"/>
        <w:szCs w:val="18"/>
      </w:rPr>
      <w:t xml:space="preserve">,  www.itb.ro  </w:t>
    </w:r>
    <w:r>
      <mc:AlternateContent>
        <mc:Choice Requires="wpg">
          <w:drawing>
            <wp:anchor xmlns:wp="http://schemas.openxmlformats.org/drawingml/2006/wordprocessingDrawing" xmlns:wp14="http://schemas.microsoft.com/office/word/2010/wordprocessingDrawing" distT="0" distB="0" distL="0" distR="0" simplePos="0" relativeHeight="162" behindDoc="1" locked="0" layoutInCell="1" allowOverlap="1">
              <wp:simplePos x="0" y="0"/>
              <wp:positionH relativeFrom="column">
                <wp:posOffset>-342900</wp:posOffset>
              </wp:positionH>
              <wp:positionV relativeFrom="paragraph">
                <wp:posOffset>120015</wp:posOffset>
              </wp:positionV>
              <wp:extent cx="685800" cy="228600"/>
              <wp:effectExtent l="0" t="0" r="0" b="0"/>
              <wp:wrapNone/>
              <wp:docPr id="2" name="Dreptunghi 3"/>
              <wp:cNvGraphicFramePr/>
              <a:graphic xmlns:a="http://schemas.openxmlformats.org/drawingml/2006/main">
                <a:graphicData uri="http://schemas.microsoft.com/office/word/2010/wordprocessingShape">
                  <wps:wsp>
                    <wps:cNvPr id="0" name=""/>
                    <wps:cNvSpPr/>
                    <wps:spPr bwMode="auto">
                      <a:xfrm>
                        <a:off x="0" y="0"/>
                        <a:ext cx="685800" cy="228600"/>
                      </a:xfrm>
                      <a:prstGeom prst="rect">
                        <a:avLst/>
                      </a:prstGeom>
                      <a:noFill/>
                      <a:ln w="0">
                        <a:noFill/>
                      </a:ln>
                    </wps:spPr>
                    <wps:style>
                      <a:lnRef idx="0"/>
                      <a:fillRef idx="0"/>
                      <a:effectRef idx="0"/>
                      <a:fontRef idx="minor"/>
                    </wps:style>
                    <wps:txbx>
                      <w:txbxContent>
                        <w:p>
                          <w:pPr>
                            <w:pStyle w:val="1018"/>
                            <w:pBdr/>
                            <w:spacing/>
                            <w:ind/>
                            <w:jc w:val="center"/>
                            <w:rPr>
                              <w:rFonts w:ascii="Calibri" w:hAnsi="Calibri"/>
                              <w:b/>
                              <w:i/>
                              <w:iCs/>
                              <w:color w:val="000041"/>
                              <w:sz w:val="14"/>
                              <w:szCs w:val="16"/>
                            </w:rPr>
                          </w:pPr>
                          <w:r>
                            <w:rPr>
                              <w:rFonts w:ascii="Calibri" w:hAnsi="Calibri"/>
                              <w:b/>
                              <w:i/>
                              <w:iCs/>
                              <w:color w:val="000041"/>
                              <w:sz w:val="14"/>
                              <w:szCs w:val="16"/>
                            </w:rPr>
                            <w:t xml:space="preserve">fondat 1921</w:t>
                          </w:r>
                          <w:r>
                            <w:rPr>
                              <w:rFonts w:ascii="Calibri" w:hAnsi="Calibri"/>
                              <w:b/>
                              <w:i/>
                              <w:iCs/>
                              <w:color w:val="000041"/>
                              <w:sz w:val="14"/>
                              <w:szCs w:val="16"/>
                            </w:rPr>
                          </w:r>
                          <w:r>
                            <w:rPr>
                              <w:rFonts w:ascii="Calibri" w:hAnsi="Calibri"/>
                              <w:b/>
                              <w:i/>
                              <w:iCs/>
                              <w:color w:val="000041"/>
                              <w:sz w:val="14"/>
                              <w:szCs w:val="16"/>
                            </w:rPr>
                          </w:r>
                        </w:p>
                        <w:p>
                          <w:pPr>
                            <w:pStyle w:val="1018"/>
                            <w:pBdr/>
                            <w:spacing/>
                            <w:ind/>
                            <w:jc w:val="center"/>
                            <w:rPr>
                              <w:sz w:val="22"/>
                              <w:szCs w:val="24"/>
                              <w:lang w:val="en-GB"/>
                            </w:rPr>
                          </w:pPr>
                          <w:r>
                            <w:rPr>
                              <w:sz w:val="22"/>
                              <w:szCs w:val="24"/>
                              <w:lang w:val="en-GB"/>
                            </w:rPr>
                          </w:r>
                          <w:r>
                            <w:rPr>
                              <w:sz w:val="22"/>
                              <w:szCs w:val="24"/>
                              <w:lang w:val="en-GB"/>
                            </w:rPr>
                          </w:r>
                          <w:r>
                            <w:rPr>
                              <w:sz w:val="22"/>
                              <w:szCs w:val="24"/>
                              <w:lang w:val="en-GB"/>
                            </w:rPr>
                          </w:r>
                        </w:p>
                      </w:txbxContent>
                    </wps:txbx>
                    <wps:bodyPr anchor="t" upright="1">
                      <a:noAutofit/>
                    </wps:bodyPr>
                  </wps:wsp>
                </a:graphicData>
              </a:graphic>
            </wp:anchor>
          </w:drawing>
        </mc:Choice>
        <mc:Fallback>
          <w:pict>
            <v:shape id="shape 1" o:spid="_x0000_s1" o:spt="1" type="#_x0000_t1" style="position:absolute;z-index:-162;o:allowoverlap:true;o:allowincell:true;mso-position-horizontal-relative:text;margin-left:-27.00pt;mso-position-horizontal:absolute;mso-position-vertical-relative:text;margin-top:9.45pt;mso-position-vertical:absolute;width:54.00pt;height:18.00pt;mso-wrap-distance-left:0.00pt;mso-wrap-distance-top:0.00pt;mso-wrap-distance-right:0.00pt;mso-wrap-distance-bottom:0.00pt;v-text-anchor:top;visibility:visible;" filled="f" stroked="f" strokeweight="0.00pt">
              <v:textbox inset="0,0,0,0">
                <w:txbxContent>
                  <w:p>
                    <w:pPr>
                      <w:pStyle w:val="1018"/>
                      <w:pBdr/>
                      <w:spacing/>
                      <w:ind/>
                      <w:jc w:val="center"/>
                      <w:rPr>
                        <w:rFonts w:ascii="Calibri" w:hAnsi="Calibri"/>
                        <w:b/>
                        <w:i/>
                        <w:iCs/>
                        <w:color w:val="000041"/>
                        <w:sz w:val="14"/>
                        <w:szCs w:val="16"/>
                      </w:rPr>
                    </w:pPr>
                    <w:r>
                      <w:rPr>
                        <w:rFonts w:ascii="Calibri" w:hAnsi="Calibri"/>
                        <w:b/>
                        <w:i/>
                        <w:iCs/>
                        <w:color w:val="000041"/>
                        <w:sz w:val="14"/>
                        <w:szCs w:val="16"/>
                      </w:rPr>
                      <w:t xml:space="preserve">fondat 1921</w:t>
                    </w:r>
                    <w:r>
                      <w:rPr>
                        <w:rFonts w:ascii="Calibri" w:hAnsi="Calibri"/>
                        <w:b/>
                        <w:i/>
                        <w:iCs/>
                        <w:color w:val="000041"/>
                        <w:sz w:val="14"/>
                        <w:szCs w:val="16"/>
                      </w:rPr>
                    </w:r>
                    <w:r>
                      <w:rPr>
                        <w:rFonts w:ascii="Calibri" w:hAnsi="Calibri"/>
                        <w:b/>
                        <w:i/>
                        <w:iCs/>
                        <w:color w:val="000041"/>
                        <w:sz w:val="14"/>
                        <w:szCs w:val="16"/>
                      </w:rPr>
                    </w:r>
                  </w:p>
                  <w:p>
                    <w:pPr>
                      <w:pStyle w:val="1018"/>
                      <w:pBdr/>
                      <w:spacing/>
                      <w:ind/>
                      <w:jc w:val="center"/>
                      <w:rPr>
                        <w:sz w:val="22"/>
                        <w:szCs w:val="24"/>
                        <w:lang w:val="en-GB"/>
                      </w:rPr>
                    </w:pPr>
                    <w:r>
                      <w:rPr>
                        <w:sz w:val="22"/>
                        <w:szCs w:val="24"/>
                        <w:lang w:val="en-GB"/>
                      </w:rPr>
                    </w:r>
                    <w:r>
                      <w:rPr>
                        <w:sz w:val="22"/>
                        <w:szCs w:val="24"/>
                        <w:lang w:val="en-GB"/>
                      </w:rPr>
                    </w:r>
                    <w:r>
                      <w:rPr>
                        <w:sz w:val="22"/>
                        <w:szCs w:val="24"/>
                        <w:lang w:val="en-GB"/>
                      </w:rPr>
                    </w:r>
                  </w:p>
                </w:txbxContent>
              </v:textbox>
            </v:shape>
          </w:pict>
        </mc:Fallback>
      </mc:AlternateContent>
    </w:r>
    <w:r>
      <w:rPr>
        <w:rFonts w:ascii="Arial" w:hAnsi="Arial" w:cs="Arial"/>
        <w:color w:val="000041"/>
        <w:sz w:val="18"/>
        <w:szCs w:val="18"/>
      </w:rPr>
      <w:t xml:space="preserve">       </w:t>
    </w:r>
    <w:r>
      <w:rPr>
        <w:rFonts w:ascii="Arial" w:hAnsi="Arial" w:cs="Arial"/>
        <w:color w:val="000041"/>
        <w:sz w:val="18"/>
        <w:szCs w:val="18"/>
        <w:lang w:val="en-GB"/>
      </w:rPr>
    </w:r>
    <w:r>
      <w:rPr>
        <w:rFonts w:ascii="Arial" w:hAnsi="Arial" w:cs="Arial"/>
        <w:color w:val="000041"/>
        <w:sz w:val="18"/>
        <w:szCs w:val="18"/>
        <w:lang w:val="en-GB"/>
      </w:rPr>
    </w:r>
  </w:p>
  <w:p>
    <w:pPr>
      <w:pStyle w:val="1011"/>
      <w:pBdr/>
      <w:spacing/>
      <w:ind/>
      <w:rPr/>
    </w:pPr>
    <w:r>
      <mc:AlternateContent>
        <mc:Choice Requires="wpg">
          <w:drawing>
            <wp:anchor xmlns:wp="http://schemas.openxmlformats.org/drawingml/2006/wordprocessingDrawing" xmlns:wp14="http://schemas.microsoft.com/office/word/2010/wordprocessingDrawing" distT="0" distB="0" distL="0" distR="0" simplePos="0" relativeHeight="57" behindDoc="1" locked="0" layoutInCell="1" allowOverlap="1">
              <wp:simplePos x="0" y="0"/>
              <wp:positionH relativeFrom="column">
                <wp:posOffset>532765</wp:posOffset>
              </wp:positionH>
              <wp:positionV relativeFrom="paragraph">
                <wp:posOffset>54610</wp:posOffset>
              </wp:positionV>
              <wp:extent cx="5760085" cy="635"/>
              <wp:effectExtent l="10160" t="9525" r="9525" b="10160"/>
              <wp:wrapNone/>
              <wp:docPr id="3" name="Conector drept 2"/>
              <wp:cNvGraphicFramePr/>
              <a:graphic xmlns:a="http://schemas.openxmlformats.org/drawingml/2006/main">
                <a:graphicData uri="http://schemas.microsoft.com/office/word/2010/wordprocessingShape">
                  <wps:wsp>
                    <wps:cNvPr id="0" name=""/>
                    <wps:cNvSpPr/>
                    <wps:spPr bwMode="auto">
                      <a:xfrm>
                        <a:off x="0" y="0"/>
                        <a:ext cx="5760000" cy="720"/>
                      </a:xfrm>
                      <a:prstGeom prst="line">
                        <a:avLst/>
                      </a:prstGeom>
                      <a:ln w="19050">
                        <a:solidFill>
                          <a:srgbClr val="000041"/>
                        </a:solidFill>
                        <a:round/>
                      </a:ln>
                    </wps:spPr>
                    <wps:style>
                      <a:lnRef idx="0"/>
                      <a:fillRef idx="0"/>
                      <a:effectRef idx="0"/>
                      <a:fontRef idx="minor"/>
                    </wps:style>
                    <wps:bodyPr rot="0">
                      <a:prstTxWarp prst="textNoShape">
                        <a:avLst/>
                      </a:prstTxWarp>
                      <a:noAutofit/>
                    </wps:bodyPr>
                  </wps:wsp>
                </a:graphicData>
              </a:graphic>
            </wp:anchor>
          </w:drawing>
        </mc:Choice>
        <mc:Fallback>
          <w:pict>
            <v:line id="shape 2" o:spid="_x0000_s2" style="position:absolute;left:0;text-align:left;z-index:-57;mso-wrap-distance-left:0.00pt;mso-wrap-distance-top:0.00pt;mso-wrap-distance-right:0.00pt;mso-wrap-distance-bottom:0.00pt;visibility:visible;" from="41.9pt,4.3pt" to="495.5pt,4.3pt" filled="f" strokecolor="#000041" strokeweight="1.50pt"/>
          </w:pict>
        </mc:Fallback>
      </mc:AlternateContent>
    </w:r>
    <w:r/>
  </w:p>
  <w:p>
    <w:pPr>
      <w:pStyle w:val="1011"/>
      <w:pBdr/>
      <w:spacing/>
      <w:ind/>
      <w:rPr/>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1"/>
      <w:pBdr/>
      <w:spacing/>
      <w:ind/>
      <w:rPr/>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37"/>
      <w:pBdr/>
      <w:spacing/>
      <w:ind w:left="851"/>
      <w:rPr>
        <w:rFonts w:ascii="Arial" w:hAnsi="Arial" w:cs="Arial"/>
        <w:b/>
        <w:bCs/>
        <w:color w:val="000041"/>
        <w:sz w:val="30"/>
        <w:szCs w:val="30"/>
      </w:rPr>
    </w:pPr>
    <w:r>
      <mc:AlternateContent>
        <mc:Choice Requires="wpg">
          <w:drawing>
            <wp:anchor xmlns:wp="http://schemas.openxmlformats.org/drawingml/2006/wordprocessingDrawing" xmlns:wp14="http://schemas.microsoft.com/office/word/2010/wordprocessingDrawing" distT="0" distB="0" distL="0" distR="0" simplePos="0" relativeHeight="216" behindDoc="1" locked="0" layoutInCell="1" allowOverlap="1">
              <wp:simplePos x="0" y="0"/>
              <wp:positionH relativeFrom="column">
                <wp:posOffset>-323850</wp:posOffset>
              </wp:positionH>
              <wp:positionV relativeFrom="paragraph">
                <wp:posOffset>-76200</wp:posOffset>
              </wp:positionV>
              <wp:extent cx="647700" cy="607060"/>
              <wp:effectExtent l="0" t="0" r="0" b="0"/>
              <wp:wrapNone/>
              <wp:docPr id="4" name="Imagine 1" descr="SIGLA FINALA 3x3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1" descr="SIGLA FINALA 3x3cm"/>
                      <pic:cNvPicPr>
                        <a:picLocks noChangeAspect="1"/>
                      </pic:cNvPicPr>
                      <pic:nvPr/>
                    </pic:nvPicPr>
                    <pic:blipFill rotWithShape="1">
                      <a:blip r:embed="rId1"/>
                      <a:stretch/>
                    </pic:blipFill>
                    <pic:spPr bwMode="auto">
                      <a:xfrm>
                        <a:off x="0" y="0"/>
                        <a:ext cx="647700" cy="607060"/>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16;o:allowoverlap:true;o:allowincell:true;mso-position-horizontal-relative:text;margin-left:-25.50pt;mso-position-horizontal:absolute;mso-position-vertical-relative:text;margin-top:-6.00pt;mso-position-vertical:absolute;width:51.00pt;height:47.80pt;mso-wrap-distance-left:0.00pt;mso-wrap-distance-top:0.00pt;mso-wrap-distance-right:0.00pt;mso-wrap-distance-bottom:0.00pt;z-index:1;" stroked="false">
              <v:imagedata r:id="rId1" o:title=""/>
              <o:lock v:ext="edit" rotation="t"/>
            </v:shape>
          </w:pict>
        </mc:Fallback>
      </mc:AlternateContent>
    </w:r>
    <w:r>
      <w:rPr>
        <w:rFonts w:ascii="Arial" w:hAnsi="Arial" w:cs="Arial"/>
        <w:b/>
        <w:bCs/>
        <w:color w:val="000041"/>
        <w:sz w:val="30"/>
        <w:szCs w:val="30"/>
      </w:rPr>
      <w:t xml:space="preserve">I</w:t>
    </w:r>
    <w:r>
      <w:rPr>
        <w:rFonts w:ascii="Arial" w:hAnsi="Arial" w:cs="Arial"/>
        <w:b/>
        <w:bCs/>
        <w:color w:val="000041"/>
        <w:sz w:val="30"/>
        <w:szCs w:val="30"/>
        <w:lang w:val="en-US"/>
      </w:rPr>
      <w:t xml:space="preserve">TBB - </w:t>
    </w:r>
    <w:r>
      <w:rPr>
        <w:rFonts w:ascii="Arial" w:hAnsi="Arial" w:cs="Arial"/>
        <w:b/>
        <w:iCs/>
        <w:color w:val="000041"/>
      </w:rPr>
      <w:t xml:space="preserve">Facultatea de Teologie Baptistă – Departamentul de Teologie Baptistă Pastorală</w:t>
    </w:r>
    <w:r>
      <w:rPr>
        <w:rFonts w:ascii="Arial" w:hAnsi="Arial" w:cs="Arial"/>
        <w:b/>
        <w:bCs/>
        <w:color w:val="000041"/>
        <w:sz w:val="30"/>
        <w:szCs w:val="30"/>
      </w:rPr>
    </w:r>
    <w:r>
      <w:rPr>
        <w:rFonts w:ascii="Arial" w:hAnsi="Arial" w:cs="Arial"/>
        <w:b/>
        <w:bCs/>
        <w:color w:val="000041"/>
        <w:sz w:val="30"/>
        <w:szCs w:val="30"/>
      </w:rPr>
    </w:r>
  </w:p>
  <w:p>
    <w:pPr>
      <w:pStyle w:val="937"/>
      <w:pBdr/>
      <w:spacing w:after="0" w:before="60"/>
      <w:ind w:left="851"/>
      <w:rPr>
        <w:rFonts w:ascii="Arial" w:hAnsi="Arial" w:cs="Arial"/>
        <w:color w:val="000041"/>
        <w:sz w:val="18"/>
        <w:szCs w:val="18"/>
      </w:rPr>
    </w:pPr>
    <w:r>
      <w:rPr>
        <w:rFonts w:ascii="Arial" w:hAnsi="Arial" w:cs="Arial"/>
        <w:color w:val="000041"/>
        <w:sz w:val="18"/>
        <w:szCs w:val="18"/>
      </w:rPr>
      <w:t xml:space="preserve">Str. Berzei, nr.29, sector 1, 010251, Bucureşti; </w:t>
    </w:r>
    <w:r>
      <w:rPr>
        <w:rFonts w:ascii="Arial" w:hAnsi="Arial" w:cs="Arial"/>
        <w:color w:val="000041"/>
        <w:sz w:val="18"/>
        <w:szCs w:val="18"/>
      </w:rPr>
    </w:r>
    <w:r>
      <w:rPr>
        <w:rFonts w:ascii="Arial" w:hAnsi="Arial" w:cs="Arial"/>
        <w:color w:val="000041"/>
        <w:sz w:val="18"/>
        <w:szCs w:val="18"/>
      </w:rPr>
    </w:r>
  </w:p>
  <w:p>
    <w:pPr>
      <w:pStyle w:val="937"/>
      <w:pBdr/>
      <w:tabs>
        <w:tab w:val="clear" w:leader="none" w:pos="432"/>
        <w:tab w:val="left" w:leader="none" w:pos="1530"/>
      </w:tabs>
      <w:spacing/>
      <w:ind w:left="851"/>
      <w:rPr>
        <w:rFonts w:ascii="Arial" w:hAnsi="Arial" w:cs="Arial"/>
        <w:color w:val="000041"/>
        <w:sz w:val="18"/>
        <w:szCs w:val="18"/>
        <w:lang w:val="en-GB"/>
      </w:rPr>
    </w:pPr>
    <w:r>
      <w:rPr>
        <w:rFonts w:ascii="Arial" w:hAnsi="Arial" w:cs="Arial"/>
        <w:color w:val="000041"/>
        <w:sz w:val="18"/>
        <w:szCs w:val="18"/>
      </w:rPr>
      <w:t xml:space="preserve">Tel. 021-3159108,  Fax 021-3181593,  E-mail: </w:t>
    </w:r>
    <w:hyperlink r:id="rId2" w:tooltip="mailto:office@itb.ro" w:history="1">
      <w:r>
        <w:rPr>
          <w:rStyle w:val="976"/>
          <w:rFonts w:ascii="Arial" w:hAnsi="Arial" w:cs="Arial"/>
          <w:color w:val="000041"/>
          <w:sz w:val="18"/>
          <w:szCs w:val="18"/>
          <w:u w:val="none"/>
        </w:rPr>
        <w:t xml:space="preserve">office@itb.ro</w:t>
      </w:r>
    </w:hyperlink>
    <w:r>
      <w:rPr>
        <w:rFonts w:ascii="Arial" w:hAnsi="Arial" w:cs="Arial"/>
        <w:color w:val="000041"/>
        <w:sz w:val="18"/>
        <w:szCs w:val="18"/>
      </w:rPr>
      <w:t xml:space="preserve">,  www.itb.ro  </w:t>
    </w:r>
    <w:r>
      <mc:AlternateContent>
        <mc:Choice Requires="wpg">
          <w:drawing>
            <wp:anchor xmlns:wp="http://schemas.openxmlformats.org/drawingml/2006/wordprocessingDrawing" xmlns:wp14="http://schemas.microsoft.com/office/word/2010/wordprocessingDrawing" distT="0" distB="0" distL="0" distR="0" simplePos="0" relativeHeight="162" behindDoc="1" locked="0" layoutInCell="1" allowOverlap="1">
              <wp:simplePos x="0" y="0"/>
              <wp:positionH relativeFrom="column">
                <wp:posOffset>-342900</wp:posOffset>
              </wp:positionH>
              <wp:positionV relativeFrom="paragraph">
                <wp:posOffset>120015</wp:posOffset>
              </wp:positionV>
              <wp:extent cx="685800" cy="228600"/>
              <wp:effectExtent l="0" t="0" r="0" b="0"/>
              <wp:wrapNone/>
              <wp:docPr id="5" name="Dreptunghi 3"/>
              <wp:cNvGraphicFramePr/>
              <a:graphic xmlns:a="http://schemas.openxmlformats.org/drawingml/2006/main">
                <a:graphicData uri="http://schemas.microsoft.com/office/word/2010/wordprocessingShape">
                  <wps:wsp>
                    <wps:cNvPr id="0" name=""/>
                    <wps:cNvSpPr/>
                    <wps:spPr bwMode="auto">
                      <a:xfrm>
                        <a:off x="0" y="0"/>
                        <a:ext cx="685800" cy="228600"/>
                      </a:xfrm>
                      <a:prstGeom prst="rect">
                        <a:avLst/>
                      </a:prstGeom>
                      <a:noFill/>
                      <a:ln w="0">
                        <a:noFill/>
                      </a:ln>
                    </wps:spPr>
                    <wps:style>
                      <a:lnRef idx="0"/>
                      <a:fillRef idx="0"/>
                      <a:effectRef idx="0"/>
                      <a:fontRef idx="minor"/>
                    </wps:style>
                    <wps:txbx>
                      <w:txbxContent>
                        <w:p>
                          <w:pPr>
                            <w:pStyle w:val="1018"/>
                            <w:pBdr/>
                            <w:spacing/>
                            <w:ind/>
                            <w:jc w:val="center"/>
                            <w:rPr>
                              <w:rFonts w:ascii="Calibri" w:hAnsi="Calibri"/>
                              <w:b/>
                              <w:i/>
                              <w:iCs/>
                              <w:color w:val="000041"/>
                              <w:sz w:val="14"/>
                              <w:szCs w:val="16"/>
                            </w:rPr>
                          </w:pPr>
                          <w:r>
                            <w:rPr>
                              <w:rFonts w:ascii="Calibri" w:hAnsi="Calibri"/>
                              <w:b/>
                              <w:i/>
                              <w:iCs/>
                              <w:color w:val="000041"/>
                              <w:sz w:val="14"/>
                              <w:szCs w:val="16"/>
                            </w:rPr>
                            <w:t xml:space="preserve">fondat 1921</w:t>
                          </w:r>
                          <w:r>
                            <w:rPr>
                              <w:rFonts w:ascii="Calibri" w:hAnsi="Calibri"/>
                              <w:b/>
                              <w:i/>
                              <w:iCs/>
                              <w:color w:val="000041"/>
                              <w:sz w:val="14"/>
                              <w:szCs w:val="16"/>
                            </w:rPr>
                          </w:r>
                          <w:r>
                            <w:rPr>
                              <w:rFonts w:ascii="Calibri" w:hAnsi="Calibri"/>
                              <w:b/>
                              <w:i/>
                              <w:iCs/>
                              <w:color w:val="000041"/>
                              <w:sz w:val="14"/>
                              <w:szCs w:val="16"/>
                            </w:rPr>
                          </w:r>
                        </w:p>
                        <w:p>
                          <w:pPr>
                            <w:pStyle w:val="1018"/>
                            <w:pBdr/>
                            <w:spacing/>
                            <w:ind/>
                            <w:jc w:val="center"/>
                            <w:rPr>
                              <w:sz w:val="22"/>
                              <w:szCs w:val="24"/>
                              <w:lang w:val="en-GB"/>
                            </w:rPr>
                          </w:pPr>
                          <w:r>
                            <w:rPr>
                              <w:sz w:val="22"/>
                              <w:szCs w:val="24"/>
                              <w:lang w:val="en-GB"/>
                            </w:rPr>
                          </w:r>
                          <w:r>
                            <w:rPr>
                              <w:sz w:val="22"/>
                              <w:szCs w:val="24"/>
                              <w:lang w:val="en-GB"/>
                            </w:rPr>
                          </w:r>
                          <w:r>
                            <w:rPr>
                              <w:sz w:val="22"/>
                              <w:szCs w:val="24"/>
                              <w:lang w:val="en-GB"/>
                            </w:rPr>
                          </w:r>
                        </w:p>
                      </w:txbxContent>
                    </wps:txbx>
                    <wps:bodyPr anchor="t" upright="1">
                      <a:noAutofit/>
                    </wps:bodyPr>
                  </wps:wsp>
                </a:graphicData>
              </a:graphic>
            </wp:anchor>
          </w:drawing>
        </mc:Choice>
        <mc:Fallback>
          <w:pict>
            <v:shape id="shape 4" o:spid="_x0000_s4" o:spt="1" type="#_x0000_t1" style="position:absolute;z-index:-162;o:allowoverlap:true;o:allowincell:true;mso-position-horizontal-relative:text;margin-left:-27.00pt;mso-position-horizontal:absolute;mso-position-vertical-relative:text;margin-top:9.45pt;mso-position-vertical:absolute;width:54.00pt;height:18.00pt;mso-wrap-distance-left:0.00pt;mso-wrap-distance-top:0.00pt;mso-wrap-distance-right:0.00pt;mso-wrap-distance-bottom:0.00pt;v-text-anchor:top;visibility:visible;" filled="f" stroked="f" strokeweight="0.00pt">
              <v:textbox inset="0,0,0,0">
                <w:txbxContent>
                  <w:p>
                    <w:pPr>
                      <w:pStyle w:val="1018"/>
                      <w:pBdr/>
                      <w:spacing/>
                      <w:ind/>
                      <w:jc w:val="center"/>
                      <w:rPr>
                        <w:rFonts w:ascii="Calibri" w:hAnsi="Calibri"/>
                        <w:b/>
                        <w:i/>
                        <w:iCs/>
                        <w:color w:val="000041"/>
                        <w:sz w:val="14"/>
                        <w:szCs w:val="16"/>
                      </w:rPr>
                    </w:pPr>
                    <w:r>
                      <w:rPr>
                        <w:rFonts w:ascii="Calibri" w:hAnsi="Calibri"/>
                        <w:b/>
                        <w:i/>
                        <w:iCs/>
                        <w:color w:val="000041"/>
                        <w:sz w:val="14"/>
                        <w:szCs w:val="16"/>
                      </w:rPr>
                      <w:t xml:space="preserve">fondat 1921</w:t>
                    </w:r>
                    <w:r>
                      <w:rPr>
                        <w:rFonts w:ascii="Calibri" w:hAnsi="Calibri"/>
                        <w:b/>
                        <w:i/>
                        <w:iCs/>
                        <w:color w:val="000041"/>
                        <w:sz w:val="14"/>
                        <w:szCs w:val="16"/>
                      </w:rPr>
                    </w:r>
                    <w:r>
                      <w:rPr>
                        <w:rFonts w:ascii="Calibri" w:hAnsi="Calibri"/>
                        <w:b/>
                        <w:i/>
                        <w:iCs/>
                        <w:color w:val="000041"/>
                        <w:sz w:val="14"/>
                        <w:szCs w:val="16"/>
                      </w:rPr>
                    </w:r>
                  </w:p>
                  <w:p>
                    <w:pPr>
                      <w:pStyle w:val="1018"/>
                      <w:pBdr/>
                      <w:spacing/>
                      <w:ind/>
                      <w:jc w:val="center"/>
                      <w:rPr>
                        <w:sz w:val="22"/>
                        <w:szCs w:val="24"/>
                        <w:lang w:val="en-GB"/>
                      </w:rPr>
                    </w:pPr>
                    <w:r>
                      <w:rPr>
                        <w:sz w:val="22"/>
                        <w:szCs w:val="24"/>
                        <w:lang w:val="en-GB"/>
                      </w:rPr>
                    </w:r>
                    <w:r>
                      <w:rPr>
                        <w:sz w:val="22"/>
                        <w:szCs w:val="24"/>
                        <w:lang w:val="en-GB"/>
                      </w:rPr>
                    </w:r>
                    <w:r>
                      <w:rPr>
                        <w:sz w:val="22"/>
                        <w:szCs w:val="24"/>
                        <w:lang w:val="en-GB"/>
                      </w:rPr>
                    </w:r>
                  </w:p>
                </w:txbxContent>
              </v:textbox>
            </v:shape>
          </w:pict>
        </mc:Fallback>
      </mc:AlternateContent>
    </w:r>
    <w:r>
      <w:rPr>
        <w:rFonts w:ascii="Arial" w:hAnsi="Arial" w:cs="Arial"/>
        <w:color w:val="000041"/>
        <w:sz w:val="18"/>
        <w:szCs w:val="18"/>
      </w:rPr>
      <w:t xml:space="preserve">       </w:t>
    </w:r>
    <w:r>
      <w:rPr>
        <w:rFonts w:ascii="Arial" w:hAnsi="Arial" w:cs="Arial"/>
        <w:color w:val="000041"/>
        <w:sz w:val="18"/>
        <w:szCs w:val="18"/>
        <w:lang w:val="en-GB"/>
      </w:rPr>
    </w:r>
    <w:r>
      <w:rPr>
        <w:rFonts w:ascii="Arial" w:hAnsi="Arial" w:cs="Arial"/>
        <w:color w:val="000041"/>
        <w:sz w:val="18"/>
        <w:szCs w:val="18"/>
        <w:lang w:val="en-GB"/>
      </w:rPr>
    </w:r>
  </w:p>
  <w:p>
    <w:pPr>
      <w:pStyle w:val="1011"/>
      <w:pBdr/>
      <w:spacing/>
      <w:ind/>
      <w:rPr/>
    </w:pPr>
    <w:r>
      <mc:AlternateContent>
        <mc:Choice Requires="wpg">
          <w:drawing>
            <wp:anchor xmlns:wp="http://schemas.openxmlformats.org/drawingml/2006/wordprocessingDrawing" xmlns:wp14="http://schemas.microsoft.com/office/word/2010/wordprocessingDrawing" distT="0" distB="0" distL="0" distR="0" simplePos="0" relativeHeight="57" behindDoc="1" locked="0" layoutInCell="1" allowOverlap="1">
              <wp:simplePos x="0" y="0"/>
              <wp:positionH relativeFrom="column">
                <wp:posOffset>532765</wp:posOffset>
              </wp:positionH>
              <wp:positionV relativeFrom="paragraph">
                <wp:posOffset>54610</wp:posOffset>
              </wp:positionV>
              <wp:extent cx="5760085" cy="635"/>
              <wp:effectExtent l="10160" t="9525" r="9525" b="10160"/>
              <wp:wrapNone/>
              <wp:docPr id="6" name="Conector drept 2"/>
              <wp:cNvGraphicFramePr/>
              <a:graphic xmlns:a="http://schemas.openxmlformats.org/drawingml/2006/main">
                <a:graphicData uri="http://schemas.microsoft.com/office/word/2010/wordprocessingShape">
                  <wps:wsp>
                    <wps:cNvPr id="0" name=""/>
                    <wps:cNvSpPr/>
                    <wps:spPr bwMode="auto">
                      <a:xfrm>
                        <a:off x="0" y="0"/>
                        <a:ext cx="5760000" cy="720"/>
                      </a:xfrm>
                      <a:prstGeom prst="line">
                        <a:avLst/>
                      </a:prstGeom>
                      <a:ln w="19050">
                        <a:solidFill>
                          <a:srgbClr val="000041"/>
                        </a:solidFill>
                        <a:round/>
                      </a:ln>
                    </wps:spPr>
                    <wps:style>
                      <a:lnRef idx="0"/>
                      <a:fillRef idx="0"/>
                      <a:effectRef idx="0"/>
                      <a:fontRef idx="minor"/>
                    </wps:style>
                    <wps:bodyPr rot="0">
                      <a:prstTxWarp prst="textNoShape">
                        <a:avLst/>
                      </a:prstTxWarp>
                      <a:noAutofit/>
                    </wps:bodyPr>
                  </wps:wsp>
                </a:graphicData>
              </a:graphic>
            </wp:anchor>
          </w:drawing>
        </mc:Choice>
        <mc:Fallback>
          <w:pict>
            <v:line id="shape 5" o:spid="_x0000_s5" style="position:absolute;left:0;text-align:left;z-index:-57;mso-wrap-distance-left:0.00pt;mso-wrap-distance-top:0.00pt;mso-wrap-distance-right:0.00pt;mso-wrap-distance-bottom:0.00pt;visibility:visible;" from="41.9pt,4.3pt" to="495.5pt,4.3pt" filled="f" strokecolor="#000041" strokeweight="1.50pt"/>
          </w:pict>
        </mc:Fallback>
      </mc:AlternateContent>
    </w:r>
    <w:r/>
  </w:p>
  <w:p>
    <w:pPr>
      <w:pStyle w:val="1011"/>
      <w:pBdr/>
      <w:spacing/>
      <w:ind/>
      <w:rP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true"/>
      <w:lvlJc w:val="left"/>
      <w:lvlText w:val="%1."/>
      <w:numFmt w:val="decimal"/>
      <w:pPr>
        <w:pBdr/>
        <w:tabs>
          <w:tab w:val="num" w:leader="none" w:pos="360"/>
        </w:tabs>
        <w:spacing/>
        <w:ind w:hanging="360" w:left="360"/>
      </w:pPr>
      <w:rPr>
        <w:b/>
      </w:rPr>
      <w:start w:val="1"/>
      <w:suff w:val="tab"/>
    </w:lvl>
    <w:lvl w:ilvl="1">
      <w:isLgl w:val="true"/>
      <w:lvlJc w:val="left"/>
      <w:lvlText w:val="%1.%2."/>
      <w:numFmt w:val="decimal"/>
      <w:pPr>
        <w:pBdr/>
        <w:tabs>
          <w:tab w:val="num" w:leader="none" w:pos="0"/>
        </w:tabs>
        <w:spacing/>
        <w:ind w:hanging="360" w:left="360"/>
      </w:pPr>
      <w:rPr/>
      <w:start w:val="2"/>
      <w:suff w:val="tab"/>
    </w:lvl>
    <w:lvl w:ilvl="2">
      <w:isLgl w:val="true"/>
      <w:lvlJc w:val="left"/>
      <w:lvlText w:val="%1.%2.%3."/>
      <w:numFmt w:val="decimal"/>
      <w:pPr>
        <w:pBdr/>
        <w:tabs>
          <w:tab w:val="num" w:leader="none" w:pos="0"/>
        </w:tabs>
        <w:spacing/>
        <w:ind w:hanging="720" w:left="720"/>
      </w:pPr>
      <w:rPr/>
      <w:start w:val="1"/>
      <w:suff w:val="tab"/>
    </w:lvl>
    <w:lvl w:ilvl="3">
      <w:isLgl w:val="true"/>
      <w:lvlJc w:val="left"/>
      <w:lvlText w:val="%1.%2.%3.%4."/>
      <w:numFmt w:val="decimal"/>
      <w:pPr>
        <w:pBdr/>
        <w:tabs>
          <w:tab w:val="num" w:leader="none" w:pos="0"/>
        </w:tabs>
        <w:spacing/>
        <w:ind w:hanging="720" w:left="720"/>
      </w:pPr>
      <w:rPr/>
      <w:start w:val="1"/>
      <w:suff w:val="tab"/>
    </w:lvl>
    <w:lvl w:ilvl="4">
      <w:isLgl w:val="true"/>
      <w:lvlJc w:val="left"/>
      <w:lvlText w:val="%1.%2.%3.%4.%5."/>
      <w:numFmt w:val="decimal"/>
      <w:pPr>
        <w:pBdr/>
        <w:tabs>
          <w:tab w:val="num" w:leader="none" w:pos="0"/>
        </w:tabs>
        <w:spacing/>
        <w:ind w:hanging="1080" w:left="1080"/>
      </w:pPr>
      <w:rPr/>
      <w:start w:val="1"/>
      <w:suff w:val="tab"/>
    </w:lvl>
    <w:lvl w:ilvl="5">
      <w:isLgl w:val="true"/>
      <w:lvlJc w:val="left"/>
      <w:lvlText w:val="%1.%2.%3.%4.%5.%6."/>
      <w:numFmt w:val="decimal"/>
      <w:pPr>
        <w:pBdr/>
        <w:tabs>
          <w:tab w:val="num" w:leader="none" w:pos="0"/>
        </w:tabs>
        <w:spacing/>
        <w:ind w:hanging="1080" w:left="1080"/>
      </w:pPr>
      <w:rPr/>
      <w:start w:val="1"/>
      <w:suff w:val="tab"/>
    </w:lvl>
    <w:lvl w:ilvl="6">
      <w:isLgl w:val="true"/>
      <w:lvlJc w:val="left"/>
      <w:lvlText w:val="%1.%2.%3.%4.%5.%6.%7."/>
      <w:numFmt w:val="decimal"/>
      <w:pPr>
        <w:pBdr/>
        <w:tabs>
          <w:tab w:val="num" w:leader="none" w:pos="0"/>
        </w:tabs>
        <w:spacing/>
        <w:ind w:hanging="1440" w:left="1440"/>
      </w:pPr>
      <w:rPr/>
      <w:start w:val="1"/>
      <w:suff w:val="tab"/>
    </w:lvl>
    <w:lvl w:ilvl="7">
      <w:isLgl w:val="true"/>
      <w:lvlJc w:val="left"/>
      <w:lvlText w:val="%1.%2.%3.%4.%5.%6.%7.%8."/>
      <w:numFmt w:val="decimal"/>
      <w:pPr>
        <w:pBdr/>
        <w:tabs>
          <w:tab w:val="num" w:leader="none" w:pos="0"/>
        </w:tabs>
        <w:spacing/>
        <w:ind w:hanging="1440" w:left="1440"/>
      </w:pPr>
      <w:rPr/>
      <w:start w:val="1"/>
      <w:suff w:val="tab"/>
    </w:lvl>
    <w:lvl w:ilvl="8">
      <w:isLgl w:val="true"/>
      <w:lvlJc w:val="left"/>
      <w:lvlText w:val="%1.%2.%3.%4.%5.%6.%7.%8.%9."/>
      <w:numFmt w:val="decimal"/>
      <w:pPr>
        <w:pBdr/>
        <w:tabs>
          <w:tab w:val="num" w:leader="none" w:pos="0"/>
        </w:tabs>
        <w:spacing/>
        <w:ind w:hanging="1800" w:left="1800"/>
      </w:pPr>
      <w:rPr/>
      <w:start w:val="1"/>
      <w:suff w:val="tab"/>
    </w:lvl>
  </w:abstractNum>
  <w:abstractNum w:abstractNumId="1">
    <w:lvl w:ilvl="0">
      <w:isLgl w:val="true"/>
      <w:lvlJc w:val="left"/>
      <w:lvlText w:val=""/>
      <w:numFmt w:val="bullet"/>
      <w:pPr>
        <w:pBdr/>
        <w:tabs>
          <w:tab w:val="num" w:leader="none" w:pos="0"/>
        </w:tabs>
        <w:spacing/>
        <w:ind w:hanging="360" w:left="720"/>
      </w:pPr>
      <w:rPr>
        <w:rFonts w:hint="default" w:ascii="Symbol" w:hAnsi="Symbol" w:cs="Symbol"/>
      </w:rPr>
      <w:start w:val="1"/>
      <w:suff w:val="tab"/>
    </w:lvl>
    <w:lvl w:ilvl="1">
      <w:isLgl w:val="true"/>
      <w:lvlJc w:val="left"/>
      <w:lvlText w:val="o"/>
      <w:numFmt w:val="bullet"/>
      <w:pPr>
        <w:pBdr/>
        <w:tabs>
          <w:tab w:val="num" w:leader="none" w:pos="0"/>
        </w:tabs>
        <w:spacing/>
        <w:ind w:hanging="360" w:left="1440"/>
      </w:pPr>
      <w:rPr>
        <w:rFonts w:hint="default" w:ascii="Courier New" w:hAnsi="Courier New" w:cs="Courier New"/>
      </w:rPr>
      <w:start w:val="1"/>
      <w:suff w:val="tab"/>
    </w:lvl>
    <w:lvl w:ilvl="2">
      <w:isLgl w:val="true"/>
      <w:lvlJc w:val="left"/>
      <w:lvlText w:val=""/>
      <w:numFmt w:val="bullet"/>
      <w:pPr>
        <w:pBdr/>
        <w:tabs>
          <w:tab w:val="num" w:leader="none" w:pos="0"/>
        </w:tabs>
        <w:spacing/>
        <w:ind w:hanging="360" w:left="2160"/>
      </w:pPr>
      <w:rPr>
        <w:rFonts w:hint="default" w:ascii="Wingdings" w:hAnsi="Wingdings" w:cs="Wingdings"/>
      </w:rPr>
      <w:start w:val="1"/>
      <w:suff w:val="tab"/>
    </w:lvl>
    <w:lvl w:ilvl="3">
      <w:isLgl w:val="true"/>
      <w:lvlJc w:val="left"/>
      <w:lvlText w:val=""/>
      <w:numFmt w:val="bullet"/>
      <w:pPr>
        <w:pBdr/>
        <w:tabs>
          <w:tab w:val="num" w:leader="none" w:pos="0"/>
        </w:tabs>
        <w:spacing/>
        <w:ind w:hanging="360" w:left="2880"/>
      </w:pPr>
      <w:rPr>
        <w:rFonts w:hint="default" w:ascii="Symbol" w:hAnsi="Symbol" w:cs="Symbol"/>
      </w:rPr>
      <w:start w:val="1"/>
      <w:suff w:val="tab"/>
    </w:lvl>
    <w:lvl w:ilvl="4">
      <w:isLgl w:val="true"/>
      <w:lvlJc w:val="left"/>
      <w:lvlText w:val="o"/>
      <w:numFmt w:val="bullet"/>
      <w:pPr>
        <w:pBdr/>
        <w:tabs>
          <w:tab w:val="num" w:leader="none" w:pos="0"/>
        </w:tabs>
        <w:spacing/>
        <w:ind w:hanging="360" w:left="3600"/>
      </w:pPr>
      <w:rPr>
        <w:rFonts w:hint="default" w:ascii="Courier New" w:hAnsi="Courier New" w:cs="Courier New"/>
      </w:rPr>
      <w:start w:val="1"/>
      <w:suff w:val="tab"/>
    </w:lvl>
    <w:lvl w:ilvl="5">
      <w:isLgl w:val="true"/>
      <w:lvlJc w:val="left"/>
      <w:lvlText w:val=""/>
      <w:numFmt w:val="bullet"/>
      <w:pPr>
        <w:pBdr/>
        <w:tabs>
          <w:tab w:val="num" w:leader="none" w:pos="0"/>
        </w:tabs>
        <w:spacing/>
        <w:ind w:hanging="360" w:left="4320"/>
      </w:pPr>
      <w:rPr>
        <w:rFonts w:hint="default" w:ascii="Wingdings" w:hAnsi="Wingdings" w:cs="Wingdings"/>
      </w:rPr>
      <w:start w:val="1"/>
      <w:suff w:val="tab"/>
    </w:lvl>
    <w:lvl w:ilvl="6">
      <w:isLgl w:val="true"/>
      <w:lvlJc w:val="left"/>
      <w:lvlText w:val=""/>
      <w:numFmt w:val="bullet"/>
      <w:pPr>
        <w:pBdr/>
        <w:tabs>
          <w:tab w:val="num" w:leader="none" w:pos="0"/>
        </w:tabs>
        <w:spacing/>
        <w:ind w:hanging="360" w:left="5040"/>
      </w:pPr>
      <w:rPr>
        <w:rFonts w:hint="default" w:ascii="Symbol" w:hAnsi="Symbol" w:cs="Symbol"/>
      </w:rPr>
      <w:start w:val="1"/>
      <w:suff w:val="tab"/>
    </w:lvl>
    <w:lvl w:ilvl="7">
      <w:isLgl w:val="true"/>
      <w:lvlJc w:val="left"/>
      <w:lvlText w:val="o"/>
      <w:numFmt w:val="bullet"/>
      <w:pPr>
        <w:pBdr/>
        <w:tabs>
          <w:tab w:val="num" w:leader="none" w:pos="0"/>
        </w:tabs>
        <w:spacing/>
        <w:ind w:hanging="360" w:left="5760"/>
      </w:pPr>
      <w:rPr>
        <w:rFonts w:hint="default" w:ascii="Courier New" w:hAnsi="Courier New" w:cs="Courier New"/>
      </w:rPr>
      <w:start w:val="1"/>
      <w:suff w:val="tab"/>
    </w:lvl>
    <w:lvl w:ilvl="8">
      <w:isLgl w:val="true"/>
      <w:lvlJc w:val="left"/>
      <w:lvlText w:val=""/>
      <w:numFmt w:val="bullet"/>
      <w:pPr>
        <w:pBdr/>
        <w:tabs>
          <w:tab w:val="num" w:leader="none" w:pos="0"/>
        </w:tabs>
        <w:spacing/>
        <w:ind w:hanging="360" w:left="6480"/>
      </w:pPr>
      <w:rPr>
        <w:rFonts w:hint="default" w:ascii="Wingdings" w:hAnsi="Wingdings" w:cs="Wingdings"/>
      </w:rPr>
      <w:start w:val="1"/>
      <w:suff w:val="tab"/>
    </w:lvl>
  </w:abstractNum>
  <w:abstractNum w:abstractNumId="2">
    <w:lvl w:ilvl="0">
      <w:isLgl w:val="true"/>
      <w:lvlJc w:val="left"/>
      <w:lvlText w:val=""/>
      <w:numFmt w:val="bullet"/>
      <w:pPr>
        <w:pBdr/>
        <w:tabs>
          <w:tab w:val="num" w:leader="none" w:pos="641"/>
        </w:tabs>
        <w:spacing/>
        <w:ind w:hanging="357" w:left="641"/>
      </w:pPr>
      <w:rPr>
        <w:rFonts w:hint="default" w:ascii="Symbol" w:hAnsi="Symbol" w:cs="Symbol"/>
      </w:rPr>
      <w:start w:val="1"/>
      <w:suff w:val="tab"/>
    </w:lvl>
    <w:lvl w:ilvl="1">
      <w:isLgl w:val="true"/>
      <w:lvlJc w:val="left"/>
      <w:lvlText w:val="o"/>
      <w:numFmt w:val="bullet"/>
      <w:pPr>
        <w:pBdr/>
        <w:tabs>
          <w:tab w:val="num" w:leader="none" w:pos="1440"/>
        </w:tabs>
        <w:spacing/>
        <w:ind w:hanging="360" w:left="1440"/>
      </w:pPr>
      <w:rPr>
        <w:rFonts w:hint="default" w:ascii="Courier New" w:hAnsi="Courier New" w:cs="Courier New"/>
      </w:rPr>
      <w:start w:val="1"/>
      <w:suff w:val="tab"/>
    </w:lvl>
    <w:lvl w:ilvl="2">
      <w:isLgl w:val="true"/>
      <w:lvlJc w:val="left"/>
      <w:lvlText w:val=""/>
      <w:numFmt w:val="bullet"/>
      <w:pPr>
        <w:pBdr/>
        <w:tabs>
          <w:tab w:val="num" w:leader="none" w:pos="2160"/>
        </w:tabs>
        <w:spacing/>
        <w:ind w:hanging="360" w:left="2160"/>
      </w:pPr>
      <w:rPr>
        <w:rFonts w:hint="default" w:ascii="Wingdings" w:hAnsi="Wingdings" w:cs="Wingdings"/>
      </w:rPr>
      <w:start w:val="1"/>
      <w:suff w:val="tab"/>
    </w:lvl>
    <w:lvl w:ilvl="3">
      <w:isLgl w:val="true"/>
      <w:lvlJc w:val="left"/>
      <w:lvlText w:val=""/>
      <w:numFmt w:val="bullet"/>
      <w:pPr>
        <w:pBdr/>
        <w:tabs>
          <w:tab w:val="num" w:leader="none" w:pos="2880"/>
        </w:tabs>
        <w:spacing/>
        <w:ind w:hanging="360" w:left="2880"/>
      </w:pPr>
      <w:rPr>
        <w:rFonts w:hint="default" w:ascii="Symbol" w:hAnsi="Symbol" w:cs="Symbol"/>
      </w:rPr>
      <w:start w:val="1"/>
      <w:suff w:val="tab"/>
    </w:lvl>
    <w:lvl w:ilvl="4">
      <w:isLgl w:val="true"/>
      <w:lvlJc w:val="left"/>
      <w:lvlText w:val="o"/>
      <w:numFmt w:val="bullet"/>
      <w:pPr>
        <w:pBdr/>
        <w:tabs>
          <w:tab w:val="num" w:leader="none" w:pos="3600"/>
        </w:tabs>
        <w:spacing/>
        <w:ind w:hanging="360" w:left="3600"/>
      </w:pPr>
      <w:rPr>
        <w:rFonts w:hint="default" w:ascii="Courier New" w:hAnsi="Courier New" w:cs="Courier New"/>
      </w:rPr>
      <w:start w:val="1"/>
      <w:suff w:val="tab"/>
    </w:lvl>
    <w:lvl w:ilvl="5">
      <w:isLgl w:val="true"/>
      <w:lvlJc w:val="left"/>
      <w:lvlText w:val=""/>
      <w:numFmt w:val="bullet"/>
      <w:pPr>
        <w:pBdr/>
        <w:tabs>
          <w:tab w:val="num" w:leader="none" w:pos="4320"/>
        </w:tabs>
        <w:spacing/>
        <w:ind w:hanging="360" w:left="4320"/>
      </w:pPr>
      <w:rPr>
        <w:rFonts w:hint="default" w:ascii="Wingdings" w:hAnsi="Wingdings" w:cs="Wingdings"/>
      </w:rPr>
      <w:start w:val="1"/>
      <w:suff w:val="tab"/>
    </w:lvl>
    <w:lvl w:ilvl="6">
      <w:isLgl w:val="true"/>
      <w:lvlJc w:val="left"/>
      <w:lvlText w:val=""/>
      <w:numFmt w:val="bullet"/>
      <w:pPr>
        <w:pBdr/>
        <w:tabs>
          <w:tab w:val="num" w:leader="none" w:pos="5040"/>
        </w:tabs>
        <w:spacing/>
        <w:ind w:hanging="360" w:left="5040"/>
      </w:pPr>
      <w:rPr>
        <w:rFonts w:hint="default" w:ascii="Symbol" w:hAnsi="Symbol" w:cs="Symbol"/>
      </w:rPr>
      <w:start w:val="1"/>
      <w:suff w:val="tab"/>
    </w:lvl>
    <w:lvl w:ilvl="7">
      <w:isLgl w:val="true"/>
      <w:lvlJc w:val="left"/>
      <w:lvlText w:val="o"/>
      <w:numFmt w:val="bullet"/>
      <w:pPr>
        <w:pBdr/>
        <w:tabs>
          <w:tab w:val="num" w:leader="none" w:pos="5760"/>
        </w:tabs>
        <w:spacing/>
        <w:ind w:hanging="360" w:left="5760"/>
      </w:pPr>
      <w:rPr>
        <w:rFonts w:hint="default" w:ascii="Courier New" w:hAnsi="Courier New" w:cs="Courier New"/>
      </w:rPr>
      <w:start w:val="1"/>
      <w:suff w:val="tab"/>
    </w:lvl>
    <w:lvl w:ilvl="8">
      <w:isLgl w:val="true"/>
      <w:lvlJc w:val="left"/>
      <w:lvlText w:val=""/>
      <w:numFmt w:val="bullet"/>
      <w:pPr>
        <w:pBdr/>
        <w:tabs>
          <w:tab w:val="num" w:leader="none" w:pos="6480"/>
        </w:tabs>
        <w:spacing/>
        <w:ind w:hanging="360" w:left="6480"/>
      </w:pPr>
      <w:rPr>
        <w:rFonts w:hint="default" w:ascii="Wingdings" w:hAnsi="Wingdings" w:cs="Wingdings"/>
      </w:rPr>
      <w:start w:val="1"/>
      <w:suff w:val="tab"/>
    </w:lvl>
  </w:abstractNum>
  <w:abstractNum w:abstractNumId="3">
    <w:lvl w:ilvl="0">
      <w:isLgl w:val="true"/>
      <w:lvlJc w:val="left"/>
      <w:lvlText w:val=""/>
      <w:numFmt w:val="bullet"/>
      <w:pPr>
        <w:pBdr/>
        <w:tabs>
          <w:tab w:val="num" w:leader="none" w:pos="0"/>
        </w:tabs>
        <w:spacing/>
        <w:ind w:hanging="360" w:left="720"/>
      </w:pPr>
      <w:rPr>
        <w:rFonts w:hint="default" w:ascii="Symbol" w:hAnsi="Symbol" w:cs="Symbol"/>
      </w:rPr>
      <w:start w:val="1"/>
      <w:suff w:val="tab"/>
    </w:lvl>
    <w:lvl w:ilvl="1">
      <w:isLgl w:val="true"/>
      <w:lvlJc w:val="left"/>
      <w:lvlText w:val="o"/>
      <w:numFmt w:val="bullet"/>
      <w:pPr>
        <w:pBdr/>
        <w:tabs>
          <w:tab w:val="num" w:leader="none" w:pos="0"/>
        </w:tabs>
        <w:spacing/>
        <w:ind w:hanging="360" w:left="1440"/>
      </w:pPr>
      <w:rPr>
        <w:rFonts w:hint="default" w:ascii="Courier New" w:hAnsi="Courier New" w:cs="Courier New"/>
      </w:rPr>
      <w:start w:val="1"/>
      <w:suff w:val="tab"/>
    </w:lvl>
    <w:lvl w:ilvl="2">
      <w:isLgl w:val="true"/>
      <w:lvlJc w:val="left"/>
      <w:lvlText w:val=""/>
      <w:numFmt w:val="bullet"/>
      <w:pPr>
        <w:pBdr/>
        <w:tabs>
          <w:tab w:val="num" w:leader="none" w:pos="0"/>
        </w:tabs>
        <w:spacing/>
        <w:ind w:hanging="360" w:left="2160"/>
      </w:pPr>
      <w:rPr>
        <w:rFonts w:hint="default" w:ascii="Wingdings" w:hAnsi="Wingdings" w:cs="Wingdings"/>
      </w:rPr>
      <w:start w:val="1"/>
      <w:suff w:val="tab"/>
    </w:lvl>
    <w:lvl w:ilvl="3">
      <w:isLgl w:val="true"/>
      <w:lvlJc w:val="left"/>
      <w:lvlText w:val=""/>
      <w:numFmt w:val="bullet"/>
      <w:pPr>
        <w:pBdr/>
        <w:tabs>
          <w:tab w:val="num" w:leader="none" w:pos="0"/>
        </w:tabs>
        <w:spacing/>
        <w:ind w:hanging="360" w:left="2880"/>
      </w:pPr>
      <w:rPr>
        <w:rFonts w:hint="default" w:ascii="Symbol" w:hAnsi="Symbol" w:cs="Symbol"/>
      </w:rPr>
      <w:start w:val="1"/>
      <w:suff w:val="tab"/>
    </w:lvl>
    <w:lvl w:ilvl="4">
      <w:isLgl w:val="true"/>
      <w:lvlJc w:val="left"/>
      <w:lvlText w:val="o"/>
      <w:numFmt w:val="bullet"/>
      <w:pPr>
        <w:pBdr/>
        <w:tabs>
          <w:tab w:val="num" w:leader="none" w:pos="0"/>
        </w:tabs>
        <w:spacing/>
        <w:ind w:hanging="360" w:left="3600"/>
      </w:pPr>
      <w:rPr>
        <w:rFonts w:hint="default" w:ascii="Courier New" w:hAnsi="Courier New" w:cs="Courier New"/>
      </w:rPr>
      <w:start w:val="1"/>
      <w:suff w:val="tab"/>
    </w:lvl>
    <w:lvl w:ilvl="5">
      <w:isLgl w:val="true"/>
      <w:lvlJc w:val="left"/>
      <w:lvlText w:val=""/>
      <w:numFmt w:val="bullet"/>
      <w:pPr>
        <w:pBdr/>
        <w:tabs>
          <w:tab w:val="num" w:leader="none" w:pos="0"/>
        </w:tabs>
        <w:spacing/>
        <w:ind w:hanging="360" w:left="4320"/>
      </w:pPr>
      <w:rPr>
        <w:rFonts w:hint="default" w:ascii="Wingdings" w:hAnsi="Wingdings" w:cs="Wingdings"/>
      </w:rPr>
      <w:start w:val="1"/>
      <w:suff w:val="tab"/>
    </w:lvl>
    <w:lvl w:ilvl="6">
      <w:isLgl w:val="true"/>
      <w:lvlJc w:val="left"/>
      <w:lvlText w:val=""/>
      <w:numFmt w:val="bullet"/>
      <w:pPr>
        <w:pBdr/>
        <w:tabs>
          <w:tab w:val="num" w:leader="none" w:pos="0"/>
        </w:tabs>
        <w:spacing/>
        <w:ind w:hanging="360" w:left="5040"/>
      </w:pPr>
      <w:rPr>
        <w:rFonts w:hint="default" w:ascii="Symbol" w:hAnsi="Symbol" w:cs="Symbol"/>
      </w:rPr>
      <w:start w:val="1"/>
      <w:suff w:val="tab"/>
    </w:lvl>
    <w:lvl w:ilvl="7">
      <w:isLgl w:val="true"/>
      <w:lvlJc w:val="left"/>
      <w:lvlText w:val="o"/>
      <w:numFmt w:val="bullet"/>
      <w:pPr>
        <w:pBdr/>
        <w:tabs>
          <w:tab w:val="num" w:leader="none" w:pos="0"/>
        </w:tabs>
        <w:spacing/>
        <w:ind w:hanging="360" w:left="5760"/>
      </w:pPr>
      <w:rPr>
        <w:rFonts w:hint="default" w:ascii="Courier New" w:hAnsi="Courier New" w:cs="Courier New"/>
      </w:rPr>
      <w:start w:val="1"/>
      <w:suff w:val="tab"/>
    </w:lvl>
    <w:lvl w:ilvl="8">
      <w:isLgl w:val="true"/>
      <w:lvlJc w:val="left"/>
      <w:lvlText w:val=""/>
      <w:numFmt w:val="bullet"/>
      <w:pPr>
        <w:pBdr/>
        <w:tabs>
          <w:tab w:val="num" w:leader="none" w:pos="0"/>
        </w:tabs>
        <w:spacing/>
        <w:ind w:hanging="360" w:left="6480"/>
      </w:pPr>
      <w:rPr>
        <w:rFonts w:hint="default" w:ascii="Wingdings" w:hAnsi="Wingdings" w:cs="Wingdings"/>
      </w:rPr>
      <w:start w:val="1"/>
      <w:suff w:val="tab"/>
    </w:lvl>
  </w:abstractNum>
  <w:abstractNum w:abstractNumId="4">
    <w:lvl w:ilvl="0">
      <w:isLgl w:val="false"/>
      <w:lvlJc w:val="left"/>
      <w:lvlText w:val=""/>
      <w:numFmt w:val="none"/>
      <w:pPr>
        <w:pBdr/>
        <w:tabs>
          <w:tab w:val="num" w:leader="none" w:pos="0"/>
        </w:tabs>
        <w:spacing/>
        <w:ind w:firstLine="0" w:left="0"/>
      </w:pPr>
      <w:rPr/>
      <w:start w:val="1"/>
      <w:suff w:val="nothing"/>
    </w:lvl>
    <w:lvl w:ilvl="1">
      <w:isLgl w:val="false"/>
      <w:lvlJc w:val="left"/>
      <w:lvlText w:val=""/>
      <w:numFmt w:val="none"/>
      <w:pPr>
        <w:pBdr/>
        <w:tabs>
          <w:tab w:val="num" w:leader="none" w:pos="0"/>
        </w:tabs>
        <w:spacing/>
        <w:ind w:firstLine="0" w:left="0"/>
      </w:pPr>
      <w:rPr/>
      <w:start w:val="1"/>
      <w:suff w:val="nothing"/>
    </w:lvl>
    <w:lvl w:ilvl="2">
      <w:isLgl w:val="false"/>
      <w:lvlJc w:val="left"/>
      <w:lvlText w:val=""/>
      <w:numFmt w:val="none"/>
      <w:pPr>
        <w:pBdr/>
        <w:tabs>
          <w:tab w:val="num" w:leader="none" w:pos="0"/>
        </w:tabs>
        <w:spacing/>
        <w:ind w:firstLine="0" w:left="0"/>
      </w:pPr>
      <w:rPr/>
      <w:start w:val="1"/>
      <w:suff w:val="nothing"/>
    </w:lvl>
    <w:lvl w:ilvl="3">
      <w:isLgl w:val="false"/>
      <w:lvlJc w:val="left"/>
      <w:lvlText w:val=""/>
      <w:numFmt w:val="none"/>
      <w:pPr>
        <w:pBdr/>
        <w:tabs>
          <w:tab w:val="num" w:leader="none" w:pos="0"/>
        </w:tabs>
        <w:spacing/>
        <w:ind w:firstLine="0" w:left="0"/>
      </w:pPr>
      <w:rPr/>
      <w:start w:val="1"/>
      <w:suff w:val="nothing"/>
    </w:lvl>
    <w:lvl w:ilvl="4">
      <w:isLgl w:val="false"/>
      <w:lvlJc w:val="left"/>
      <w:lvlText w:val=""/>
      <w:numFmt w:val="none"/>
      <w:pPr>
        <w:pBdr/>
        <w:tabs>
          <w:tab w:val="num" w:leader="none" w:pos="0"/>
        </w:tabs>
        <w:spacing/>
        <w:ind w:firstLine="0" w:left="0"/>
      </w:pPr>
      <w:rPr/>
      <w:start w:val="1"/>
      <w:suff w:val="nothing"/>
    </w:lvl>
    <w:lvl w:ilvl="5">
      <w:isLgl w:val="false"/>
      <w:lvlJc w:val="left"/>
      <w:lvlText w:val=""/>
      <w:numFmt w:val="none"/>
      <w:pPr>
        <w:pBdr/>
        <w:tabs>
          <w:tab w:val="num" w:leader="none" w:pos="0"/>
        </w:tabs>
        <w:spacing/>
        <w:ind w:firstLine="0" w:left="0"/>
      </w:pPr>
      <w:rPr/>
      <w:start w:val="1"/>
      <w:suff w:val="nothing"/>
    </w:lvl>
    <w:lvl w:ilvl="6">
      <w:isLgl w:val="false"/>
      <w:lvlJc w:val="left"/>
      <w:lvlText w:val=""/>
      <w:numFmt w:val="none"/>
      <w:pPr>
        <w:pBdr/>
        <w:tabs>
          <w:tab w:val="num" w:leader="none" w:pos="0"/>
        </w:tabs>
        <w:spacing/>
        <w:ind w:firstLine="0" w:left="0"/>
      </w:pPr>
      <w:rPr/>
      <w:start w:val="1"/>
      <w:suff w:val="nothing"/>
    </w:lvl>
    <w:lvl w:ilvl="7">
      <w:isLgl w:val="false"/>
      <w:lvlJc w:val="left"/>
      <w:lvlText w:val=""/>
      <w:numFmt w:val="none"/>
      <w:pPr>
        <w:pBdr/>
        <w:tabs>
          <w:tab w:val="num" w:leader="none" w:pos="0"/>
        </w:tabs>
        <w:spacing/>
        <w:ind w:firstLine="0" w:left="0"/>
      </w:pPr>
      <w:rPr/>
      <w:start w:val="1"/>
      <w:suff w:val="nothing"/>
    </w:lvl>
    <w:lvl w:ilvl="8">
      <w:isLgl w:val="false"/>
      <w:lvlJc w:val="left"/>
      <w:lvlText w:val=""/>
      <w:numFmt w:val="none"/>
      <w:pPr>
        <w:pBdr/>
        <w:tabs>
          <w:tab w:val="num" w:leader="none" w:pos="0"/>
        </w:tabs>
        <w:spacing/>
        <w:ind w:firstLine="0" w:left="0"/>
      </w:pPr>
      <w:rPr/>
      <w:start w:val="1"/>
      <w:suff w:val="nothing"/>
    </w:lvl>
  </w:abstractNum>
  <w:abstractNum w:abstractNumId="5">
    <w:nsid w:val="0A3A9C92"/>
    <w:lvl w:ilvl="0">
      <w:isLgl w:val="false"/>
      <w:lvlJc w:val="left"/>
      <w:lvlText w:val="%1."/>
      <w:numFmt w:val="upperLetter"/>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432"/>
  <w:autoHyphenation w:val="true"/>
  <w:hyphenationZone w:val="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alibri" w:hAnsi="Calibri" w:eastAsia="Calibri" w:cs="Times New Roman"/>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937" w:default="1">
    <w:name w:val="Normal"/>
    <w:qFormat/>
    <w:pPr>
      <w:widowControl w:val="true"/>
      <w:pBdr/>
      <w:bidi w:val="false"/>
      <w:spacing w:after="0" w:before="0"/>
      <w:ind/>
      <w:jc w:val="left"/>
    </w:pPr>
    <w:rPr>
      <w:rFonts w:ascii="Gentium" w:hAnsi="Gentium" w:eastAsia="Gentium" w:cs="Gentium"/>
      <w:color w:val="auto"/>
      <w:sz w:val="24"/>
      <w:szCs w:val="24"/>
      <w:lang w:val="ro-RO" w:eastAsia="en-US" w:bidi="ar-SA"/>
    </w:rPr>
  </w:style>
  <w:style w:type="paragraph" w:styleId="938">
    <w:name w:val="Heading 1"/>
    <w:basedOn w:val="937"/>
    <w:next w:val="937"/>
    <w:link w:val="978"/>
    <w:uiPriority w:val="9"/>
    <w:qFormat/>
    <w:pPr>
      <w:keepNext w:val="true"/>
      <w:keepLines w:val="true"/>
      <w:pBdr/>
      <w:spacing w:after="0" w:before="480"/>
      <w:ind/>
      <w:jc w:val="both"/>
      <w:outlineLvl w:val="0"/>
    </w:pPr>
    <w:rPr>
      <w:rFonts w:ascii="Calibri" w:hAnsi="Calibri"/>
      <w:b/>
      <w:bCs/>
      <w:color w:val="000000"/>
      <w:sz w:val="28"/>
      <w:szCs w:val="28"/>
    </w:rPr>
  </w:style>
  <w:style w:type="paragraph" w:styleId="939">
    <w:name w:val="Heading 2"/>
    <w:basedOn w:val="937"/>
    <w:next w:val="937"/>
    <w:link w:val="957"/>
    <w:uiPriority w:val="9"/>
    <w:unhideWhenUsed/>
    <w:qFormat/>
    <w:pPr>
      <w:keepNext w:val="true"/>
      <w:keepLines w:val="true"/>
      <w:pBdr/>
      <w:spacing w:after="200" w:before="360"/>
      <w:ind/>
      <w:outlineLvl w:val="1"/>
    </w:pPr>
    <w:rPr>
      <w:rFonts w:ascii="Albertus" w:hAnsi="Albertus" w:eastAsia="Albertus" w:cs="Albertus"/>
      <w:b/>
      <w:bCs/>
      <w:sz w:val="24"/>
      <w:szCs w:val="24"/>
      <w:lang w:val="en-US"/>
    </w:rPr>
  </w:style>
  <w:style w:type="paragraph" w:styleId="940">
    <w:name w:val="Heading 3"/>
    <w:basedOn w:val="937"/>
    <w:next w:val="937"/>
    <w:link w:val="958"/>
    <w:uiPriority w:val="9"/>
    <w:unhideWhenUsed/>
    <w:qFormat/>
    <w:pPr>
      <w:keepNext w:val="true"/>
      <w:keepLines w:val="true"/>
      <w:pBdr/>
      <w:spacing w:after="200" w:before="320"/>
      <w:ind/>
      <w:outlineLvl w:val="2"/>
    </w:pPr>
    <w:rPr>
      <w:rFonts w:ascii="Arial" w:hAnsi="Arial" w:eastAsia="Arial" w:cs="Arial"/>
      <w:sz w:val="30"/>
      <w:szCs w:val="30"/>
    </w:rPr>
  </w:style>
  <w:style w:type="paragraph" w:styleId="941">
    <w:name w:val="Heading 4"/>
    <w:basedOn w:val="937"/>
    <w:next w:val="937"/>
    <w:link w:val="959"/>
    <w:uiPriority w:val="9"/>
    <w:unhideWhenUsed/>
    <w:qFormat/>
    <w:pPr>
      <w:keepNext w:val="true"/>
      <w:keepLines w:val="true"/>
      <w:pBdr/>
      <w:spacing w:after="200" w:before="320"/>
      <w:ind/>
      <w:outlineLvl w:val="3"/>
    </w:pPr>
    <w:rPr>
      <w:rFonts w:ascii="Arial" w:hAnsi="Arial" w:eastAsia="Arial" w:cs="Arial"/>
      <w:b/>
      <w:bCs/>
      <w:sz w:val="26"/>
      <w:szCs w:val="26"/>
    </w:rPr>
  </w:style>
  <w:style w:type="paragraph" w:styleId="942">
    <w:name w:val="Heading 5"/>
    <w:basedOn w:val="937"/>
    <w:next w:val="937"/>
    <w:link w:val="960"/>
    <w:uiPriority w:val="9"/>
    <w:unhideWhenUsed/>
    <w:qFormat/>
    <w:pPr>
      <w:keepNext w:val="true"/>
      <w:keepLines w:val="true"/>
      <w:pBdr/>
      <w:spacing w:after="200" w:before="320"/>
      <w:ind/>
      <w:outlineLvl w:val="4"/>
    </w:pPr>
    <w:rPr>
      <w:rFonts w:ascii="Arial" w:hAnsi="Arial" w:eastAsia="Arial" w:cs="Arial"/>
      <w:b/>
      <w:bCs/>
      <w:sz w:val="24"/>
      <w:szCs w:val="24"/>
    </w:rPr>
  </w:style>
  <w:style w:type="paragraph" w:styleId="943">
    <w:name w:val="Heading 6"/>
    <w:basedOn w:val="937"/>
    <w:next w:val="937"/>
    <w:link w:val="961"/>
    <w:uiPriority w:val="9"/>
    <w:unhideWhenUsed/>
    <w:qFormat/>
    <w:pPr>
      <w:keepNext w:val="true"/>
      <w:keepLines w:val="true"/>
      <w:pBdr/>
      <w:spacing w:after="200" w:before="320"/>
      <w:ind/>
      <w:outlineLvl w:val="5"/>
    </w:pPr>
    <w:rPr>
      <w:rFonts w:ascii="Arial" w:hAnsi="Arial" w:eastAsia="Arial" w:cs="Arial"/>
      <w:b/>
      <w:bCs/>
      <w:sz w:val="22"/>
      <w:szCs w:val="22"/>
    </w:rPr>
  </w:style>
  <w:style w:type="paragraph" w:styleId="944">
    <w:name w:val="Heading 7"/>
    <w:basedOn w:val="937"/>
    <w:next w:val="937"/>
    <w:link w:val="962"/>
    <w:uiPriority w:val="9"/>
    <w:unhideWhenUsed/>
    <w:qFormat/>
    <w:pPr>
      <w:keepNext w:val="true"/>
      <w:keepLines w:val="true"/>
      <w:pBdr/>
      <w:spacing w:after="200" w:before="320"/>
      <w:ind/>
      <w:outlineLvl w:val="6"/>
    </w:pPr>
    <w:rPr>
      <w:rFonts w:ascii="Arial" w:hAnsi="Arial" w:eastAsia="Arial" w:cs="Arial"/>
      <w:b/>
      <w:bCs/>
      <w:i/>
      <w:iCs/>
      <w:sz w:val="22"/>
      <w:szCs w:val="22"/>
    </w:rPr>
  </w:style>
  <w:style w:type="paragraph" w:styleId="945">
    <w:name w:val="Heading 8"/>
    <w:basedOn w:val="937"/>
    <w:next w:val="937"/>
    <w:link w:val="963"/>
    <w:uiPriority w:val="9"/>
    <w:unhideWhenUsed/>
    <w:qFormat/>
    <w:pPr>
      <w:keepNext w:val="true"/>
      <w:keepLines w:val="true"/>
      <w:pBdr/>
      <w:spacing w:after="200" w:before="320"/>
      <w:ind/>
      <w:outlineLvl w:val="7"/>
    </w:pPr>
    <w:rPr>
      <w:rFonts w:ascii="Arial" w:hAnsi="Arial" w:eastAsia="Arial" w:cs="Arial"/>
      <w:i/>
      <w:iCs/>
      <w:sz w:val="22"/>
      <w:szCs w:val="22"/>
    </w:rPr>
  </w:style>
  <w:style w:type="paragraph" w:styleId="946">
    <w:name w:val="Heading 9"/>
    <w:basedOn w:val="937"/>
    <w:next w:val="937"/>
    <w:link w:val="964"/>
    <w:uiPriority w:val="9"/>
    <w:unhideWhenUsed/>
    <w:qFormat/>
    <w:pPr>
      <w:keepNext w:val="true"/>
      <w:keepLines w:val="true"/>
      <w:pBdr/>
      <w:spacing w:after="200" w:before="320"/>
      <w:ind/>
      <w:outlineLvl w:val="8"/>
    </w:pPr>
    <w:rPr>
      <w:rFonts w:ascii="Arial" w:hAnsi="Arial" w:eastAsia="Arial" w:cs="Arial"/>
      <w:i/>
      <w:iCs/>
      <w:sz w:val="21"/>
      <w:szCs w:val="21"/>
    </w:rPr>
  </w:style>
  <w:style w:type="character" w:styleId="947">
    <w:name w:val="Placeholder Text"/>
    <w:basedOn w:val="956"/>
    <w:uiPriority w:val="99"/>
    <w:semiHidden/>
    <w:qFormat/>
    <w:pPr>
      <w:pBdr/>
      <w:spacing/>
      <w:ind/>
    </w:pPr>
    <w:rPr>
      <w:color w:val="666666"/>
    </w:rPr>
  </w:style>
  <w:style w:type="character" w:styleId="948">
    <w:name w:val="Intense Emphasis"/>
    <w:basedOn w:val="956"/>
    <w:uiPriority w:val="21"/>
    <w:qFormat/>
    <w:pPr>
      <w:pBdr/>
      <w:spacing/>
      <w:ind/>
    </w:pPr>
    <w:rPr>
      <w:i/>
      <w:iCs/>
      <w:color w:val="0f4761" w:themeColor="accent1" w:themeShade="BF"/>
    </w:rPr>
  </w:style>
  <w:style w:type="character" w:styleId="949">
    <w:name w:val="Intense Reference"/>
    <w:basedOn w:val="956"/>
    <w:uiPriority w:val="32"/>
    <w:qFormat/>
    <w:pPr>
      <w:pBdr/>
      <w:spacing/>
      <w:ind/>
    </w:pPr>
    <w:rPr>
      <w:b/>
      <w:bCs/>
      <w:smallCaps/>
      <w:color w:val="0f4761" w:themeColor="accent1" w:themeShade="BF"/>
      <w:spacing w:val="5"/>
    </w:rPr>
  </w:style>
  <w:style w:type="character" w:styleId="950">
    <w:name w:val="Subtle Emphasis"/>
    <w:basedOn w:val="956"/>
    <w:uiPriority w:val="19"/>
    <w:qFormat/>
    <w:pPr>
      <w:pBdr/>
      <w:spacing/>
      <w:ind/>
    </w:pPr>
    <w:rPr>
      <w:i/>
      <w:iCs/>
      <w:color w:val="404040" w:themeColor="text1" w:themeTint="BF"/>
    </w:rPr>
  </w:style>
  <w:style w:type="character" w:styleId="951">
    <w:name w:val="Emphasis"/>
    <w:basedOn w:val="956"/>
    <w:uiPriority w:val="20"/>
    <w:qFormat/>
    <w:pPr>
      <w:pBdr/>
      <w:spacing/>
      <w:ind/>
    </w:pPr>
    <w:rPr>
      <w:i/>
      <w:iCs/>
    </w:rPr>
  </w:style>
  <w:style w:type="character" w:styleId="952">
    <w:name w:val="Strong"/>
    <w:basedOn w:val="956"/>
    <w:uiPriority w:val="22"/>
    <w:qFormat/>
    <w:pPr>
      <w:pBdr/>
      <w:spacing/>
      <w:ind/>
    </w:pPr>
    <w:rPr>
      <w:b/>
      <w:bCs/>
    </w:rPr>
  </w:style>
  <w:style w:type="character" w:styleId="953">
    <w:name w:val="Subtle Reference"/>
    <w:basedOn w:val="956"/>
    <w:uiPriority w:val="31"/>
    <w:qFormat/>
    <w:pPr>
      <w:pBdr/>
      <w:spacing/>
      <w:ind/>
    </w:pPr>
    <w:rPr>
      <w:smallCaps/>
      <w:color w:val="5a5a5a" w:themeColor="text1" w:themeTint="A5"/>
    </w:rPr>
  </w:style>
  <w:style w:type="character" w:styleId="954">
    <w:name w:val="Book Title"/>
    <w:basedOn w:val="956"/>
    <w:uiPriority w:val="33"/>
    <w:qFormat/>
    <w:pPr>
      <w:pBdr/>
      <w:spacing/>
      <w:ind/>
    </w:pPr>
    <w:rPr>
      <w:b/>
      <w:bCs/>
      <w:i/>
      <w:iCs/>
      <w:spacing w:val="5"/>
    </w:rPr>
  </w:style>
  <w:style w:type="character" w:styleId="955">
    <w:name w:val="FollowedHyperlink"/>
    <w:basedOn w:val="956"/>
    <w:uiPriority w:val="99"/>
    <w:semiHidden/>
    <w:unhideWhenUsed/>
    <w:pPr>
      <w:pBdr/>
      <w:spacing/>
      <w:ind/>
    </w:pPr>
    <w:rPr>
      <w:color w:val="954f72" w:themeColor="followedHyperlink"/>
      <w:u w:val="single"/>
    </w:rPr>
  </w:style>
  <w:style w:type="character" w:styleId="956" w:default="1">
    <w:name w:val="Default Paragraph Font"/>
    <w:uiPriority w:val="1"/>
    <w:semiHidden/>
    <w:unhideWhenUsed/>
    <w:qFormat/>
    <w:pPr>
      <w:pBdr/>
      <w:spacing/>
      <w:ind/>
    </w:pPr>
  </w:style>
  <w:style w:type="character" w:styleId="957" w:customStyle="1">
    <w:name w:val="Heading 2 Char"/>
    <w:link w:val="939"/>
    <w:uiPriority w:val="9"/>
    <w:qFormat/>
    <w:pPr>
      <w:pBdr/>
      <w:spacing/>
      <w:ind/>
    </w:pPr>
    <w:rPr>
      <w:rFonts w:ascii="Albertus" w:hAnsi="Albertus" w:eastAsia="Albertus" w:cs="Albertus"/>
      <w:sz w:val="24"/>
      <w:szCs w:val="24"/>
      <w:lang w:val="en-US"/>
    </w:rPr>
  </w:style>
  <w:style w:type="character" w:styleId="958" w:customStyle="1">
    <w:name w:val="Heading 3 Char"/>
    <w:basedOn w:val="956"/>
    <w:link w:val="940"/>
    <w:uiPriority w:val="9"/>
    <w:qFormat/>
    <w:pPr>
      <w:pBdr/>
      <w:spacing/>
      <w:ind/>
    </w:pPr>
    <w:rPr>
      <w:rFonts w:ascii="Arial" w:hAnsi="Arial" w:eastAsia="Arial" w:cs="Arial"/>
      <w:sz w:val="30"/>
      <w:szCs w:val="30"/>
    </w:rPr>
  </w:style>
  <w:style w:type="character" w:styleId="959" w:customStyle="1">
    <w:name w:val="Heading 4 Char"/>
    <w:basedOn w:val="956"/>
    <w:link w:val="941"/>
    <w:uiPriority w:val="9"/>
    <w:qFormat/>
    <w:pPr>
      <w:pBdr/>
      <w:spacing/>
      <w:ind/>
    </w:pPr>
    <w:rPr>
      <w:rFonts w:ascii="Arial" w:hAnsi="Arial" w:eastAsia="Arial" w:cs="Arial"/>
      <w:b/>
      <w:bCs/>
      <w:sz w:val="26"/>
      <w:szCs w:val="26"/>
    </w:rPr>
  </w:style>
  <w:style w:type="character" w:styleId="960" w:customStyle="1">
    <w:name w:val="Heading 5 Char"/>
    <w:basedOn w:val="956"/>
    <w:link w:val="942"/>
    <w:uiPriority w:val="9"/>
    <w:qFormat/>
    <w:pPr>
      <w:pBdr/>
      <w:spacing/>
      <w:ind/>
    </w:pPr>
    <w:rPr>
      <w:rFonts w:ascii="Arial" w:hAnsi="Arial" w:eastAsia="Arial" w:cs="Arial"/>
      <w:b/>
      <w:bCs/>
      <w:sz w:val="24"/>
      <w:szCs w:val="24"/>
    </w:rPr>
  </w:style>
  <w:style w:type="character" w:styleId="961" w:customStyle="1">
    <w:name w:val="Heading 6 Char"/>
    <w:basedOn w:val="956"/>
    <w:link w:val="943"/>
    <w:uiPriority w:val="9"/>
    <w:qFormat/>
    <w:pPr>
      <w:pBdr/>
      <w:spacing/>
      <w:ind/>
    </w:pPr>
    <w:rPr>
      <w:rFonts w:ascii="Arial" w:hAnsi="Arial" w:eastAsia="Arial" w:cs="Arial"/>
      <w:b/>
      <w:bCs/>
      <w:sz w:val="22"/>
      <w:szCs w:val="22"/>
    </w:rPr>
  </w:style>
  <w:style w:type="character" w:styleId="962" w:customStyle="1">
    <w:name w:val="Heading 7 Char"/>
    <w:basedOn w:val="956"/>
    <w:link w:val="944"/>
    <w:uiPriority w:val="9"/>
    <w:qFormat/>
    <w:pPr>
      <w:pBdr/>
      <w:spacing/>
      <w:ind/>
    </w:pPr>
    <w:rPr>
      <w:rFonts w:ascii="Arial" w:hAnsi="Arial" w:eastAsia="Arial" w:cs="Arial"/>
      <w:b/>
      <w:bCs/>
      <w:i/>
      <w:iCs/>
      <w:sz w:val="22"/>
      <w:szCs w:val="22"/>
    </w:rPr>
  </w:style>
  <w:style w:type="character" w:styleId="963" w:customStyle="1">
    <w:name w:val="Heading 8 Char"/>
    <w:basedOn w:val="956"/>
    <w:link w:val="945"/>
    <w:uiPriority w:val="9"/>
    <w:qFormat/>
    <w:pPr>
      <w:pBdr/>
      <w:spacing/>
      <w:ind/>
    </w:pPr>
    <w:rPr>
      <w:rFonts w:ascii="Arial" w:hAnsi="Arial" w:eastAsia="Arial" w:cs="Arial"/>
      <w:i/>
      <w:iCs/>
      <w:sz w:val="22"/>
      <w:szCs w:val="22"/>
    </w:rPr>
  </w:style>
  <w:style w:type="character" w:styleId="964" w:customStyle="1">
    <w:name w:val="Heading 9 Char"/>
    <w:basedOn w:val="956"/>
    <w:link w:val="946"/>
    <w:uiPriority w:val="9"/>
    <w:qFormat/>
    <w:pPr>
      <w:pBdr/>
      <w:spacing/>
      <w:ind/>
    </w:pPr>
    <w:rPr>
      <w:rFonts w:ascii="Arial" w:hAnsi="Arial" w:eastAsia="Arial" w:cs="Arial"/>
      <w:i/>
      <w:iCs/>
      <w:sz w:val="21"/>
      <w:szCs w:val="21"/>
    </w:rPr>
  </w:style>
  <w:style w:type="character" w:styleId="965" w:customStyle="1">
    <w:name w:val="Title Char"/>
    <w:basedOn w:val="956"/>
    <w:link w:val="991"/>
    <w:uiPriority w:val="10"/>
    <w:qFormat/>
    <w:pPr>
      <w:pBdr/>
      <w:spacing/>
      <w:ind/>
    </w:pPr>
    <w:rPr>
      <w:sz w:val="48"/>
      <w:szCs w:val="48"/>
    </w:rPr>
  </w:style>
  <w:style w:type="character" w:styleId="966" w:customStyle="1">
    <w:name w:val="Subtitle Char"/>
    <w:basedOn w:val="956"/>
    <w:link w:val="992"/>
    <w:uiPriority w:val="11"/>
    <w:qFormat/>
    <w:pPr>
      <w:pBdr/>
      <w:spacing/>
      <w:ind/>
    </w:pPr>
    <w:rPr>
      <w:sz w:val="24"/>
      <w:szCs w:val="24"/>
    </w:rPr>
  </w:style>
  <w:style w:type="character" w:styleId="967" w:customStyle="1">
    <w:name w:val="Quote Char"/>
    <w:link w:val="993"/>
    <w:uiPriority w:val="29"/>
    <w:qFormat/>
    <w:pPr>
      <w:pBdr/>
      <w:spacing/>
      <w:ind/>
    </w:pPr>
    <w:rPr>
      <w:i/>
    </w:rPr>
  </w:style>
  <w:style w:type="character" w:styleId="968" w:customStyle="1">
    <w:name w:val="Intense Quote Char"/>
    <w:link w:val="994"/>
    <w:uiPriority w:val="30"/>
    <w:qFormat/>
    <w:pPr>
      <w:pBdr/>
      <w:spacing/>
      <w:ind/>
    </w:pPr>
    <w:rPr>
      <w:i/>
    </w:rPr>
  </w:style>
  <w:style w:type="character" w:styleId="969" w:customStyle="1">
    <w:name w:val="Caption Char"/>
    <w:uiPriority w:val="99"/>
    <w:qFormat/>
    <w:pPr>
      <w:pBdr/>
      <w:spacing/>
      <w:ind/>
    </w:pPr>
  </w:style>
  <w:style w:type="character" w:styleId="970" w:customStyle="1">
    <w:name w:val="Footnote Text Char"/>
    <w:link w:val="995"/>
    <w:uiPriority w:val="99"/>
    <w:qFormat/>
    <w:pPr>
      <w:pBdr/>
      <w:spacing/>
      <w:ind/>
    </w:pPr>
    <w:rPr>
      <w:sz w:val="18"/>
    </w:rPr>
  </w:style>
  <w:style w:type="character" w:styleId="971">
    <w:name w:val="Footnote Characters"/>
    <w:basedOn w:val="956"/>
    <w:uiPriority w:val="99"/>
    <w:unhideWhenUsed/>
    <w:qFormat/>
    <w:pPr>
      <w:pBdr/>
      <w:spacing/>
      <w:ind/>
    </w:pPr>
    <w:rPr>
      <w:vertAlign w:val="superscript"/>
    </w:rPr>
  </w:style>
  <w:style w:type="character" w:styleId="972">
    <w:name w:val="footnote reference"/>
    <w:pPr>
      <w:pBdr/>
      <w:spacing/>
      <w:ind/>
    </w:pPr>
    <w:rPr>
      <w:vertAlign w:val="superscript"/>
    </w:rPr>
  </w:style>
  <w:style w:type="character" w:styleId="973" w:customStyle="1">
    <w:name w:val="Endnote Text Char"/>
    <w:link w:val="996"/>
    <w:uiPriority w:val="99"/>
    <w:qFormat/>
    <w:pPr>
      <w:pBdr/>
      <w:spacing/>
      <w:ind/>
    </w:pPr>
    <w:rPr>
      <w:sz w:val="20"/>
    </w:rPr>
  </w:style>
  <w:style w:type="character" w:styleId="974">
    <w:name w:val="Endnote Characters"/>
    <w:basedOn w:val="956"/>
    <w:uiPriority w:val="99"/>
    <w:semiHidden/>
    <w:unhideWhenUsed/>
    <w:qFormat/>
    <w:pPr>
      <w:pBdr/>
      <w:spacing/>
      <w:ind/>
    </w:pPr>
    <w:rPr>
      <w:vertAlign w:val="superscript"/>
    </w:rPr>
  </w:style>
  <w:style w:type="character" w:styleId="975">
    <w:name w:val="endnote reference"/>
    <w:pPr>
      <w:pBdr/>
      <w:spacing/>
      <w:ind/>
    </w:pPr>
    <w:rPr>
      <w:vertAlign w:val="superscript"/>
    </w:rPr>
  </w:style>
  <w:style w:type="character" w:styleId="976">
    <w:name w:val="Hyperlink"/>
    <w:uiPriority w:val="99"/>
    <w:unhideWhenUsed/>
    <w:pPr>
      <w:pBdr/>
      <w:spacing/>
      <w:ind/>
    </w:pPr>
    <w:rPr>
      <w:color w:val="0000ff"/>
      <w:u w:val="single"/>
    </w:rPr>
  </w:style>
  <w:style w:type="character" w:styleId="977" w:customStyle="1">
    <w:name w:val="apple-style-span"/>
    <w:basedOn w:val="956"/>
    <w:qFormat/>
    <w:pPr>
      <w:pBdr/>
      <w:spacing/>
      <w:ind/>
    </w:pPr>
  </w:style>
  <w:style w:type="character" w:styleId="978" w:customStyle="1">
    <w:name w:val="Heading 1 Char"/>
    <w:link w:val="938"/>
    <w:uiPriority w:val="9"/>
    <w:qFormat/>
    <w:pPr>
      <w:pBdr/>
      <w:spacing/>
      <w:ind/>
    </w:pPr>
    <w:rPr>
      <w:rFonts w:eastAsia="Times New Roman" w:cs="Times New Roman"/>
      <w:b/>
      <w:bCs/>
      <w:color w:val="000000"/>
      <w:sz w:val="28"/>
      <w:szCs w:val="28"/>
      <w:lang w:val="ro-RO"/>
    </w:rPr>
  </w:style>
  <w:style w:type="character" w:styleId="979" w:customStyle="1">
    <w:name w:val="Header Char"/>
    <w:link w:val="1011"/>
    <w:uiPriority w:val="99"/>
    <w:qFormat/>
    <w:pPr>
      <w:pBdr/>
      <w:spacing/>
      <w:ind/>
    </w:pPr>
    <w:rPr>
      <w:rFonts w:ascii="Times New Roman" w:hAnsi="Times New Roman" w:eastAsia="Times New Roman" w:cs="Times New Roman"/>
      <w:sz w:val="20"/>
      <w:szCs w:val="20"/>
      <w:lang w:val="ro-RO"/>
    </w:rPr>
  </w:style>
  <w:style w:type="character" w:styleId="980" w:customStyle="1">
    <w:name w:val="Footer Char"/>
    <w:link w:val="1012"/>
    <w:uiPriority w:val="99"/>
    <w:qFormat/>
    <w:pPr>
      <w:pBdr/>
      <w:spacing/>
      <w:ind/>
    </w:pPr>
    <w:rPr>
      <w:rFonts w:ascii="Times New Roman" w:hAnsi="Times New Roman" w:eastAsia="Times New Roman" w:cs="Times New Roman"/>
      <w:sz w:val="20"/>
      <w:szCs w:val="20"/>
      <w:lang w:val="ro-RO"/>
    </w:rPr>
  </w:style>
  <w:style w:type="character" w:styleId="981" w:customStyle="1">
    <w:name w:val="Balloon Text Char"/>
    <w:link w:val="1013"/>
    <w:uiPriority w:val="99"/>
    <w:semiHidden/>
    <w:qFormat/>
    <w:pPr>
      <w:pBdr/>
      <w:spacing/>
      <w:ind/>
    </w:pPr>
    <w:rPr>
      <w:rFonts w:ascii="Tahoma" w:hAnsi="Tahoma" w:eastAsia="Times New Roman" w:cs="Tahoma"/>
      <w:sz w:val="16"/>
      <w:szCs w:val="16"/>
      <w:lang w:val="ro-RO"/>
    </w:rPr>
  </w:style>
  <w:style w:type="character" w:styleId="982" w:customStyle="1">
    <w:name w:val="Document Map Char"/>
    <w:basedOn w:val="956"/>
    <w:link w:val="1015"/>
    <w:uiPriority w:val="99"/>
    <w:semiHidden/>
    <w:qFormat/>
    <w:pPr>
      <w:pBdr/>
      <w:spacing/>
      <w:ind/>
    </w:pPr>
    <w:rPr>
      <w:rFonts w:ascii="Tahoma" w:hAnsi="Tahoma" w:eastAsia="Times New Roman" w:cs="Tahoma"/>
      <w:sz w:val="16"/>
      <w:szCs w:val="16"/>
      <w:lang w:val="ro-RO"/>
    </w:rPr>
  </w:style>
  <w:style w:type="character" w:styleId="983" w:customStyle="1">
    <w:name w:val="apple-converted-space"/>
    <w:qFormat/>
    <w:pPr>
      <w:pBdr/>
      <w:spacing/>
      <w:ind/>
    </w:pPr>
  </w:style>
  <w:style w:type="character" w:styleId="984" w:customStyle="1">
    <w:name w:val="sc"/>
    <w:qFormat/>
    <w:pPr>
      <w:pBdr/>
      <w:spacing/>
      <w:ind/>
    </w:pPr>
  </w:style>
  <w:style w:type="paragraph" w:styleId="985">
    <w:name w:val="Heading"/>
    <w:basedOn w:val="937"/>
    <w:next w:val="986"/>
    <w:qFormat/>
    <w:pPr>
      <w:keepNext w:val="true"/>
      <w:pBdr/>
      <w:spacing w:after="120" w:before="240"/>
      <w:ind/>
    </w:pPr>
    <w:rPr>
      <w:rFonts w:ascii="Liberation Sans" w:hAnsi="Liberation Sans" w:eastAsia="Microsoft YaHei" w:cs="Mangal"/>
      <w:sz w:val="28"/>
      <w:szCs w:val="28"/>
    </w:rPr>
  </w:style>
  <w:style w:type="paragraph" w:styleId="986">
    <w:name w:val="Body Text"/>
    <w:basedOn w:val="937"/>
    <w:pPr>
      <w:pBdr/>
      <w:spacing w:after="140" w:before="0" w:line="276" w:lineRule="auto"/>
      <w:ind/>
    </w:pPr>
  </w:style>
  <w:style w:type="paragraph" w:styleId="987">
    <w:name w:val="List"/>
    <w:basedOn w:val="986"/>
    <w:pPr>
      <w:pBdr/>
      <w:spacing/>
      <w:ind/>
    </w:pPr>
    <w:rPr>
      <w:rFonts w:cs="Mangal"/>
    </w:rPr>
  </w:style>
  <w:style w:type="paragraph" w:styleId="988">
    <w:name w:val="Caption"/>
    <w:basedOn w:val="937"/>
    <w:next w:val="937"/>
    <w:uiPriority w:val="35"/>
    <w:semiHidden/>
    <w:unhideWhenUsed/>
    <w:qFormat/>
    <w:pPr>
      <w:pBdr/>
      <w:spacing w:line="276" w:lineRule="auto"/>
      <w:ind/>
    </w:pPr>
    <w:rPr>
      <w:b/>
      <w:bCs/>
      <w:color w:val="4f81bd" w:themeColor="accent1"/>
      <w:sz w:val="18"/>
      <w:szCs w:val="18"/>
    </w:rPr>
  </w:style>
  <w:style w:type="paragraph" w:styleId="989">
    <w:name w:val="Index"/>
    <w:basedOn w:val="937"/>
    <w:qFormat/>
    <w:pPr>
      <w:suppressLineNumbers w:val="true"/>
      <w:pBdr/>
      <w:spacing/>
      <w:ind/>
    </w:pPr>
    <w:rPr>
      <w:rFonts w:cs="Mangal"/>
    </w:rPr>
  </w:style>
  <w:style w:type="paragraph" w:styleId="990">
    <w:name w:val="No Spacing"/>
    <w:uiPriority w:val="1"/>
    <w:qFormat/>
    <w:pPr>
      <w:widowControl w:val="true"/>
      <w:pBdr/>
      <w:bidi w:val="false"/>
      <w:spacing w:after="0" w:before="0"/>
      <w:ind/>
      <w:jc w:val="left"/>
    </w:pPr>
    <w:rPr>
      <w:rFonts w:ascii="Calibri" w:hAnsi="Calibri" w:eastAsia="Calibri" w:cs="Times New Roman"/>
      <w:color w:val="auto"/>
      <w:sz w:val="20"/>
      <w:szCs w:val="20"/>
      <w:lang w:val="en-US" w:eastAsia="en-US" w:bidi="ar-SA"/>
    </w:rPr>
  </w:style>
  <w:style w:type="paragraph" w:styleId="991">
    <w:name w:val="Title"/>
    <w:basedOn w:val="937"/>
    <w:next w:val="937"/>
    <w:link w:val="965"/>
    <w:uiPriority w:val="10"/>
    <w:qFormat/>
    <w:pPr>
      <w:pBdr/>
      <w:spacing w:after="200" w:before="300"/>
      <w:ind/>
      <w:contextualSpacing w:val="true"/>
    </w:pPr>
    <w:rPr>
      <w:sz w:val="48"/>
      <w:szCs w:val="48"/>
    </w:rPr>
  </w:style>
  <w:style w:type="paragraph" w:styleId="992">
    <w:name w:val="Subtitle"/>
    <w:basedOn w:val="937"/>
    <w:next w:val="937"/>
    <w:link w:val="966"/>
    <w:uiPriority w:val="11"/>
    <w:qFormat/>
    <w:pPr>
      <w:pBdr/>
      <w:spacing w:after="200" w:before="200"/>
      <w:ind/>
    </w:pPr>
    <w:rPr>
      <w:sz w:val="24"/>
      <w:szCs w:val="24"/>
    </w:rPr>
  </w:style>
  <w:style w:type="paragraph" w:styleId="993">
    <w:name w:val="Quote"/>
    <w:basedOn w:val="937"/>
    <w:next w:val="937"/>
    <w:link w:val="967"/>
    <w:uiPriority w:val="29"/>
    <w:qFormat/>
    <w:pPr>
      <w:pBdr/>
      <w:spacing/>
      <w:ind w:right="720" w:left="720"/>
    </w:pPr>
    <w:rPr>
      <w:i/>
    </w:rPr>
  </w:style>
  <w:style w:type="paragraph" w:styleId="994">
    <w:name w:val="Intense Quote"/>
    <w:basedOn w:val="937"/>
    <w:next w:val="937"/>
    <w:link w:val="968"/>
    <w:uiPriority w:val="30"/>
    <w:qFormat/>
    <w:pPr>
      <w:pBdr>
        <w:top w:val="single" w:color="ffffff" w:sz="4" w:space="5"/>
        <w:left w:val="single" w:color="ffffff" w:sz="4" w:space="10"/>
        <w:bottom w:val="single" w:color="ffffff" w:sz="4" w:space="5"/>
        <w:right w:val="single" w:color="ffffff" w:sz="4" w:space="10"/>
      </w:pBdr>
      <w:shd w:val="clear" w:color="auto" w:fill="f2f2f2"/>
      <w:spacing/>
      <w:ind w:right="720" w:left="720"/>
    </w:pPr>
    <w:rPr>
      <w:i/>
    </w:rPr>
  </w:style>
  <w:style w:type="paragraph" w:styleId="995">
    <w:name w:val="footnote text"/>
    <w:basedOn w:val="937"/>
    <w:link w:val="970"/>
    <w:uiPriority w:val="99"/>
    <w:semiHidden/>
    <w:unhideWhenUsed/>
    <w:pPr>
      <w:pBdr/>
      <w:spacing w:after="40" w:before="0"/>
      <w:ind/>
    </w:pPr>
    <w:rPr>
      <w:sz w:val="18"/>
    </w:rPr>
  </w:style>
  <w:style w:type="paragraph" w:styleId="996">
    <w:name w:val="endnote text"/>
    <w:basedOn w:val="937"/>
    <w:link w:val="973"/>
    <w:uiPriority w:val="99"/>
    <w:semiHidden/>
    <w:unhideWhenUsed/>
    <w:pPr>
      <w:pBdr/>
      <w:spacing/>
      <w:ind/>
    </w:pPr>
  </w:style>
  <w:style w:type="paragraph" w:styleId="997">
    <w:name w:val="toc 1"/>
    <w:basedOn w:val="937"/>
    <w:next w:val="937"/>
    <w:uiPriority w:val="39"/>
    <w:unhideWhenUsed/>
    <w:pPr>
      <w:pBdr/>
      <w:spacing w:after="57" w:before="0"/>
      <w:ind/>
    </w:pPr>
  </w:style>
  <w:style w:type="paragraph" w:styleId="998">
    <w:name w:val="toc 2"/>
    <w:basedOn w:val="937"/>
    <w:next w:val="937"/>
    <w:uiPriority w:val="39"/>
    <w:unhideWhenUsed/>
    <w:pPr>
      <w:pBdr/>
      <w:spacing w:after="57" w:before="0"/>
      <w:ind w:left="283"/>
    </w:pPr>
  </w:style>
  <w:style w:type="paragraph" w:styleId="999">
    <w:name w:val="toc 3"/>
    <w:basedOn w:val="937"/>
    <w:next w:val="937"/>
    <w:uiPriority w:val="39"/>
    <w:unhideWhenUsed/>
    <w:pPr>
      <w:pBdr/>
      <w:spacing w:after="57" w:before="0"/>
      <w:ind w:left="567"/>
    </w:pPr>
  </w:style>
  <w:style w:type="paragraph" w:styleId="1000">
    <w:name w:val="toc 4"/>
    <w:basedOn w:val="937"/>
    <w:next w:val="937"/>
    <w:uiPriority w:val="39"/>
    <w:unhideWhenUsed/>
    <w:pPr>
      <w:pBdr/>
      <w:spacing w:after="57" w:before="0"/>
      <w:ind w:left="850"/>
    </w:pPr>
  </w:style>
  <w:style w:type="paragraph" w:styleId="1001">
    <w:name w:val="toc 5"/>
    <w:basedOn w:val="937"/>
    <w:next w:val="937"/>
    <w:uiPriority w:val="39"/>
    <w:unhideWhenUsed/>
    <w:pPr>
      <w:pBdr/>
      <w:spacing w:after="57" w:before="0"/>
      <w:ind w:left="1134"/>
    </w:pPr>
  </w:style>
  <w:style w:type="paragraph" w:styleId="1002">
    <w:name w:val="toc 6"/>
    <w:basedOn w:val="937"/>
    <w:next w:val="937"/>
    <w:uiPriority w:val="39"/>
    <w:unhideWhenUsed/>
    <w:pPr>
      <w:pBdr/>
      <w:spacing w:after="57" w:before="0"/>
      <w:ind w:left="1417"/>
    </w:pPr>
  </w:style>
  <w:style w:type="paragraph" w:styleId="1003">
    <w:name w:val="toc 7"/>
    <w:basedOn w:val="937"/>
    <w:next w:val="937"/>
    <w:uiPriority w:val="39"/>
    <w:unhideWhenUsed/>
    <w:pPr>
      <w:pBdr/>
      <w:spacing w:after="57" w:before="0"/>
      <w:ind w:left="1701"/>
    </w:pPr>
  </w:style>
  <w:style w:type="paragraph" w:styleId="1004">
    <w:name w:val="toc 8"/>
    <w:basedOn w:val="937"/>
    <w:next w:val="937"/>
    <w:uiPriority w:val="39"/>
    <w:unhideWhenUsed/>
    <w:pPr>
      <w:pBdr/>
      <w:spacing w:after="57" w:before="0"/>
      <w:ind w:left="1984"/>
    </w:pPr>
  </w:style>
  <w:style w:type="paragraph" w:styleId="1005">
    <w:name w:val="toc 9"/>
    <w:basedOn w:val="937"/>
    <w:next w:val="937"/>
    <w:uiPriority w:val="39"/>
    <w:unhideWhenUsed/>
    <w:pPr>
      <w:pBdr/>
      <w:spacing w:after="57" w:before="0"/>
      <w:ind w:left="2268"/>
    </w:pPr>
  </w:style>
  <w:style w:type="paragraph" w:styleId="1006">
    <w:name w:val="index heading"/>
    <w:basedOn w:val="985"/>
    <w:pPr>
      <w:pBdr/>
      <w:spacing/>
      <w:ind/>
    </w:pPr>
  </w:style>
  <w:style w:type="paragraph" w:styleId="1007">
    <w:name w:val="TOC Heading"/>
    <w:uiPriority w:val="39"/>
    <w:unhideWhenUsed/>
    <w:qFormat/>
    <w:pPr>
      <w:widowControl w:val="true"/>
      <w:pBdr/>
      <w:bidi w:val="false"/>
      <w:spacing w:after="0" w:before="0"/>
      <w:ind/>
      <w:jc w:val="left"/>
    </w:pPr>
    <w:rPr>
      <w:rFonts w:ascii="Calibri" w:hAnsi="Calibri" w:eastAsia="Calibri" w:cs="Times New Roman"/>
      <w:color w:val="auto"/>
      <w:sz w:val="20"/>
      <w:szCs w:val="20"/>
      <w:lang w:val="en-US" w:eastAsia="en-US" w:bidi="ar-SA"/>
    </w:rPr>
  </w:style>
  <w:style w:type="paragraph" w:styleId="1008">
    <w:name w:val="table of figures"/>
    <w:basedOn w:val="937"/>
    <w:next w:val="937"/>
    <w:uiPriority w:val="99"/>
    <w:unhideWhenUsed/>
    <w:pPr>
      <w:pBdr/>
      <w:spacing/>
      <w:ind/>
    </w:pPr>
  </w:style>
  <w:style w:type="paragraph" w:styleId="1009">
    <w:name w:val="List Paragraph"/>
    <w:basedOn w:val="937"/>
    <w:uiPriority w:val="34"/>
    <w:qFormat/>
    <w:pPr>
      <w:pBdr/>
      <w:spacing w:after="0" w:before="0"/>
      <w:ind w:left="720"/>
      <w:contextualSpacing w:val="true"/>
    </w:pPr>
  </w:style>
  <w:style w:type="paragraph" w:styleId="1010">
    <w:name w:val="Header and Footer"/>
    <w:basedOn w:val="937"/>
    <w:qFormat/>
    <w:pPr>
      <w:pBdr/>
      <w:spacing/>
      <w:ind/>
    </w:pPr>
  </w:style>
  <w:style w:type="paragraph" w:styleId="1011">
    <w:name w:val="Header"/>
    <w:basedOn w:val="937"/>
    <w:link w:val="979"/>
    <w:uiPriority w:val="99"/>
    <w:unhideWhenUsed/>
    <w:pPr>
      <w:pBdr/>
      <w:tabs>
        <w:tab w:val="clear" w:leader="none" w:pos="432"/>
        <w:tab w:val="center" w:leader="none" w:pos="4680"/>
        <w:tab w:val="right" w:leader="none" w:pos="9360"/>
      </w:tabs>
      <w:spacing/>
      <w:ind/>
    </w:pPr>
  </w:style>
  <w:style w:type="paragraph" w:styleId="1012">
    <w:name w:val="Footer"/>
    <w:basedOn w:val="937"/>
    <w:link w:val="980"/>
    <w:uiPriority w:val="99"/>
    <w:unhideWhenUsed/>
    <w:pPr>
      <w:pBdr/>
      <w:tabs>
        <w:tab w:val="clear" w:leader="none" w:pos="432"/>
        <w:tab w:val="center" w:leader="none" w:pos="4680"/>
        <w:tab w:val="right" w:leader="none" w:pos="9360"/>
      </w:tabs>
      <w:spacing/>
      <w:ind/>
    </w:pPr>
  </w:style>
  <w:style w:type="paragraph" w:styleId="1013">
    <w:name w:val="Balloon Text"/>
    <w:basedOn w:val="937"/>
    <w:link w:val="981"/>
    <w:uiPriority w:val="99"/>
    <w:semiHidden/>
    <w:unhideWhenUsed/>
    <w:qFormat/>
    <w:pPr>
      <w:pBdr/>
      <w:spacing/>
      <w:ind/>
    </w:pPr>
    <w:rPr>
      <w:rFonts w:ascii="Tahoma" w:hAnsi="Tahoma" w:cs="Tahoma"/>
      <w:sz w:val="16"/>
      <w:szCs w:val="16"/>
    </w:rPr>
  </w:style>
  <w:style w:type="paragraph" w:styleId="1014" w:customStyle="1">
    <w:name w:val="Default"/>
    <w:qFormat/>
    <w:pPr>
      <w:widowControl w:val="true"/>
      <w:pBdr/>
      <w:bidi w:val="false"/>
      <w:spacing w:after="0" w:before="0"/>
      <w:ind/>
      <w:jc w:val="left"/>
    </w:pPr>
    <w:rPr>
      <w:rFonts w:ascii="Arial" w:hAnsi="Arial" w:eastAsia="Times New Roman" w:cs="Arial"/>
      <w:color w:val="000000"/>
      <w:sz w:val="24"/>
      <w:szCs w:val="24"/>
      <w:lang w:val="en-US" w:eastAsia="en-US" w:bidi="ar-SA"/>
    </w:rPr>
  </w:style>
  <w:style w:type="paragraph" w:styleId="1015">
    <w:name w:val="Document Map"/>
    <w:basedOn w:val="937"/>
    <w:link w:val="982"/>
    <w:uiPriority w:val="99"/>
    <w:semiHidden/>
    <w:unhideWhenUsed/>
    <w:qFormat/>
    <w:pPr>
      <w:pBdr/>
      <w:spacing/>
      <w:ind/>
    </w:pPr>
    <w:rPr>
      <w:rFonts w:ascii="Tahoma" w:hAnsi="Tahoma" w:cs="Tahoma"/>
      <w:sz w:val="16"/>
      <w:szCs w:val="16"/>
    </w:rPr>
  </w:style>
  <w:style w:type="paragraph" w:styleId="1016" w:customStyle="1">
    <w:name w:val="Normal (Web)"/>
    <w:uiPriority w:val="99"/>
    <w:unhideWhenUsed/>
    <w:qFormat/>
    <w:pPr>
      <w:keepNext w:val="false"/>
      <w:keepLines w:val="false"/>
      <w:pageBreakBefore w:val="false"/>
      <w:widowControl w:val="true"/>
      <w:pBdr/>
      <w:shd w:val="nil"/>
      <w:bidi w:val="false"/>
      <w:spacing w:afterAutospacing="1" w:beforeAutospacing="1" w:line="240" w:lineRule="auto"/>
      <w:ind w:right="0" w:firstLine="0" w:left="0"/>
      <w:jc w:val="left"/>
    </w:pPr>
    <w:rPr>
      <w:rFonts w:ascii="Times New Roman" w:hAnsi="Times New Roman" w:eastAsia="Times New Roman" w:cs="Times New Roman"/>
      <w:b w:val="0"/>
      <w:bCs w:val="0"/>
      <w:i w:val="0"/>
      <w:iCs w:val="0"/>
      <w:caps w:val="0"/>
      <w:smallCaps w:val="0"/>
      <w:strike w:val="0"/>
      <w:vanish w:val="0"/>
      <w:color w:val="auto"/>
      <w:spacing w:val="0"/>
      <w:position w:val="0"/>
      <w:sz w:val="24"/>
      <w:szCs w:val="24"/>
      <w:u w:val="none"/>
      <w:vertAlign w:val="baseline"/>
      <w:lang w:val="en-US" w:eastAsia="en-US" w:bidi="ar-SA"/>
      <w14:ligatures w14:val="none"/>
    </w:rPr>
  </w:style>
  <w:style w:type="paragraph" w:styleId="1017" w:customStyle="1">
    <w:name w:val="Bibliography"/>
    <w:uiPriority w:val="37"/>
    <w:unhideWhenUsed/>
    <w:qFormat/>
    <w:pPr>
      <w:keepNext w:val="false"/>
      <w:keepLines w:val="false"/>
      <w:pageBreakBefore w:val="false"/>
      <w:widowControl w:val="true"/>
      <w:pBdr/>
      <w:shd w:val="nil"/>
      <w:bidi w:val="false"/>
      <w:spacing w:after="0" w:afterAutospacing="0" w:before="0" w:beforeAutospacing="0" w:line="240" w:lineRule="auto"/>
      <w:ind w:right="0" w:hanging="720" w:left="720"/>
      <w:jc w:val="left"/>
    </w:pPr>
    <w:rPr>
      <w:rFonts w:ascii="Calibri" w:hAnsi="Calibri" w:eastAsia="Calibri" w:cs="Times New Roman"/>
      <w:b w:val="0"/>
      <w:bCs w:val="0"/>
      <w:i w:val="0"/>
      <w:iCs w:val="0"/>
      <w:caps w:val="0"/>
      <w:smallCaps w:val="0"/>
      <w:strike w:val="0"/>
      <w:vanish w:val="0"/>
      <w:color w:val="auto"/>
      <w:spacing w:val="0"/>
      <w:position w:val="0"/>
      <w:sz w:val="22"/>
      <w:szCs w:val="22"/>
      <w:u w:val="none"/>
      <w:vertAlign w:val="baseline"/>
      <w:lang w:val="en-US" w:eastAsia="en-US" w:bidi="ar-SA"/>
      <w14:ligatures w14:val="none"/>
    </w:rPr>
  </w:style>
  <w:style w:type="paragraph" w:styleId="1018">
    <w:name w:val="Frame Contents"/>
    <w:basedOn w:val="937"/>
    <w:qFormat/>
    <w:pPr>
      <w:pBdr/>
      <w:spacing/>
      <w:ind/>
    </w:pPr>
  </w:style>
  <w:style w:type="numbering" w:styleId="1019" w:default="1">
    <w:name w:val="No List"/>
    <w:uiPriority w:val="99"/>
    <w:semiHidden/>
    <w:unhideWhenUsed/>
    <w:qFormat/>
    <w:pPr>
      <w:pBdr/>
      <w:spacing/>
      <w:ind/>
    </w:pPr>
  </w:style>
  <w:style w:type="table" w:styleId="1020">
    <w:name w:val="Table Grid Light"/>
    <w:basedOn w:val="1078"/>
    <w:uiPriority w:val="59"/>
    <w:pPr>
      <w:pBdr/>
      <w:spacing w:after="0" w:line="240" w:lineRule="auto"/>
      <w:ind/>
    </w:pPr>
    <w:tblPr>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1">
    <w:name w:val="Grid Table 1 Light - Accent 1"/>
    <w:basedOn w:val="1078"/>
    <w:uiPriority w:val="99"/>
    <w:pPr>
      <w:pBdr/>
      <w:spacing w:after="0" w:line="240" w:lineRule="auto"/>
      <w:ind/>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sz w:val="22"/>
      </w:rPr>
      <w:pPr>
        <w:pBdr/>
        <w:spacing/>
        <w:ind/>
      </w:pPr>
      <w:tblPr>
        <w:tblBorders/>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000000" w:themeColor="accent1"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2">
    <w:name w:val="Grid Table 1 Light - Accent 3"/>
    <w:basedOn w:val="1078"/>
    <w:uiPriority w:val="99"/>
    <w:pPr>
      <w:pBdr/>
      <w:spacing w:after="0" w:line="240" w:lineRule="auto"/>
      <w:ind/>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sz w:val="22"/>
      </w:rPr>
      <w:pPr>
        <w:pBdr/>
        <w:spacing/>
        <w:ind/>
      </w:pPr>
      <w:tblPr>
        <w:tblBorders/>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000000" w:themeColor="accent3"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3">
    <w:name w:val="Grid Table 1 Light - Accent 4"/>
    <w:basedOn w:val="1078"/>
    <w:uiPriority w:val="99"/>
    <w:pPr>
      <w:pBdr/>
      <w:spacing w:after="0" w:line="240" w:lineRule="auto"/>
      <w:ind/>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sz w:val="22"/>
      </w:rPr>
      <w:pPr>
        <w:pBdr/>
        <w:spacing/>
        <w:ind/>
      </w:pPr>
      <w:tblPr>
        <w:tblBorders/>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000000" w:themeColor="accent4"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4">
    <w:name w:val="Grid Table 1 Light - Accent 5"/>
    <w:basedOn w:val="1078"/>
    <w:uiPriority w:val="99"/>
    <w:pPr>
      <w:pBdr/>
      <w:spacing w:after="0" w:line="240" w:lineRule="auto"/>
      <w:ind/>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sz w:val="22"/>
      </w:rPr>
      <w:pPr>
        <w:pBdr/>
        <w:spacing/>
        <w:ind/>
      </w:pPr>
      <w:tblPr>
        <w:tblBorders/>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000000" w:themeColor="accent5"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5">
    <w:name w:val="Grid Table 1 Light - Accent 6"/>
    <w:basedOn w:val="1078"/>
    <w:uiPriority w:val="99"/>
    <w:pPr>
      <w:pBdr/>
      <w:spacing w:after="0" w:line="240" w:lineRule="auto"/>
      <w:ind/>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sz w:val="22"/>
      </w:rPr>
      <w:pPr>
        <w:pBdr/>
        <w:spacing/>
        <w:ind/>
      </w:pPr>
      <w:tblPr>
        <w:tblBorders/>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000000" w:themeColor="accent6"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6">
    <w:name w:val="Grid Table 2 - Accent 1"/>
    <w:basedOn w:val="1078"/>
    <w:uiPriority w:val="99"/>
    <w:pPr>
      <w:pBdr/>
      <w:spacing w:after="0" w:line="240" w:lineRule="auto"/>
      <w:ind/>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sz w:val="22"/>
      </w:rPr>
      <w:pPr>
        <w:pBdr/>
        <w:spacing/>
        <w:ind/>
      </w:pPr>
      <w:tblPr>
        <w:tblBorders/>
      </w:tblPr>
      <w:tcPr>
        <w:shd w:val="clear" w:color="ffffff" w:fill="dbe5f2" w:themeFill="accent1" w:themeFillTint="34"/>
        <w:tcBorders/>
      </w:tcPr>
    </w:tblStylePr>
    <w:tblStylePr w:type="band1Vert">
      <w:rPr>
        <w:sz w:val="22"/>
      </w:rPr>
      <w:pPr>
        <w:pBdr/>
        <w:spacing/>
        <w:ind/>
      </w:pPr>
      <w:tblPr>
        <w:tblBorders/>
      </w:tblPr>
      <w:tcPr>
        <w:shd w:val="clear" w:color="ffffff"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tcBorders>
          <w:top w:val="none" w:color="000000" w:sz="4" w:space="0"/>
          <w:left w:val="none" w:color="000000" w:sz="4" w:space="0"/>
          <w:bottom w:val="single" w:color="000000" w:themeColor="accent1"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7">
    <w:name w:val="Grid Table 2 - Accent 2"/>
    <w:basedOn w:val="1078"/>
    <w:uiPriority w:val="99"/>
    <w:pPr>
      <w:pBdr/>
      <w:spacing w:after="0" w:line="240" w:lineRule="auto"/>
      <w:ind/>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sz w:val="22"/>
      </w:rPr>
      <w:pPr>
        <w:pBdr/>
        <w:spacing/>
        <w:ind/>
      </w:pPr>
      <w:tblPr>
        <w:tblBorders/>
      </w:tblPr>
      <w:tcPr>
        <w:shd w:val="clear" w:color="ffffff" w:fill="f3dddc" w:themeFill="accent2" w:themeFillTint="32"/>
        <w:tcBorders/>
      </w:tcPr>
    </w:tblStylePr>
    <w:tblStylePr w:type="band1Vert">
      <w:rPr>
        <w:sz w:val="22"/>
      </w:rPr>
      <w:pPr>
        <w:pBdr/>
        <w:spacing/>
        <w:ind/>
      </w:pPr>
      <w:tblPr>
        <w:tblBorders/>
      </w:tblPr>
      <w:tcPr>
        <w:shd w:val="clear" w:color="ffffff"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tcBorders>
          <w:top w:val="none" w:color="000000" w:sz="4" w:space="0"/>
          <w:left w:val="none" w:color="000000" w:sz="4" w:space="0"/>
          <w:bottom w:val="single" w:color="000000" w:themeColor="accent2"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8">
    <w:name w:val="Grid Table 2 - Accent 3"/>
    <w:basedOn w:val="1078"/>
    <w:uiPriority w:val="99"/>
    <w:pPr>
      <w:pBdr/>
      <w:spacing w:after="0" w:line="240" w:lineRule="auto"/>
      <w:ind/>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sz w:val="22"/>
      </w:rPr>
      <w:pPr>
        <w:pBdr/>
        <w:spacing/>
        <w:ind/>
      </w:pPr>
      <w:tblPr>
        <w:tblBorders/>
      </w:tblPr>
      <w:tcPr>
        <w:shd w:val="clear" w:color="ffffff" w:fill="ebf1dd" w:themeFill="accent3" w:themeFillTint="34"/>
        <w:tcBorders/>
      </w:tcPr>
    </w:tblStylePr>
    <w:tblStylePr w:type="band1Vert">
      <w:rPr>
        <w:sz w:val="22"/>
      </w:rPr>
      <w:pPr>
        <w:pBdr/>
        <w:spacing/>
        <w:ind/>
      </w:pPr>
      <w:tblPr>
        <w:tblBorders/>
      </w:tblPr>
      <w:tcPr>
        <w:shd w:val="clear" w:color="ffffff"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tcBorders>
          <w:top w:val="none" w:color="000000" w:sz="4" w:space="0"/>
          <w:left w:val="none" w:color="000000" w:sz="4" w:space="0"/>
          <w:bottom w:val="single" w:color="000000" w:themeColor="accent3"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9">
    <w:name w:val="Grid Table 2 - Accent 4"/>
    <w:basedOn w:val="1078"/>
    <w:uiPriority w:val="99"/>
    <w:pPr>
      <w:pBdr/>
      <w:spacing w:after="0" w:line="240" w:lineRule="auto"/>
      <w:ind/>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sz w:val="22"/>
      </w:rPr>
      <w:pPr>
        <w:pBdr/>
        <w:spacing/>
        <w:ind/>
      </w:pPr>
      <w:tblPr>
        <w:tblBorders/>
      </w:tblPr>
      <w:tcPr>
        <w:shd w:val="clear" w:color="ffffff" w:fill="e5dfec" w:themeFill="accent4" w:themeFillTint="34"/>
        <w:tcBorders/>
      </w:tcPr>
    </w:tblStylePr>
    <w:tblStylePr w:type="band1Vert">
      <w:rPr>
        <w:sz w:val="22"/>
      </w:rPr>
      <w:pPr>
        <w:pBdr/>
        <w:spacing/>
        <w:ind/>
      </w:pPr>
      <w:tblPr>
        <w:tblBorders/>
      </w:tblPr>
      <w:tcPr>
        <w:shd w:val="clear" w:color="ffffff"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tcBorders>
          <w:top w:val="none" w:color="000000" w:sz="4" w:space="0"/>
          <w:left w:val="none" w:color="000000" w:sz="4" w:space="0"/>
          <w:bottom w:val="single" w:color="000000" w:themeColor="accent4"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0">
    <w:name w:val="Grid Table 2 - Accent 5"/>
    <w:basedOn w:val="1078"/>
    <w:uiPriority w:val="99"/>
    <w:pPr>
      <w:pBdr/>
      <w:spacing w:after="0" w:line="240" w:lineRule="auto"/>
      <w:ind/>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sz w:val="22"/>
      </w:rPr>
      <w:pPr>
        <w:pBdr/>
        <w:spacing/>
        <w:ind/>
      </w:pPr>
      <w:tblPr>
        <w:tblBorders/>
      </w:tblPr>
      <w:tcPr>
        <w:shd w:val="clear" w:color="ffffff" w:fill="daeef3" w:themeFill="accent5" w:themeFillTint="34"/>
        <w:tcBorders/>
      </w:tcPr>
    </w:tblStylePr>
    <w:tblStylePr w:type="band1Vert">
      <w:rPr>
        <w:sz w:val="22"/>
      </w:rPr>
      <w:pPr>
        <w:pBdr/>
        <w:spacing/>
        <w:ind/>
      </w:pPr>
      <w:tblPr>
        <w:tblBorders/>
      </w:tblPr>
      <w:tcPr>
        <w:shd w:val="clear" w:color="ffffff"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1">
    <w:name w:val="Grid Table 2 - Accent 6"/>
    <w:basedOn w:val="1078"/>
    <w:uiPriority w:val="99"/>
    <w:pPr>
      <w:pBdr/>
      <w:spacing w:after="0" w:line="240" w:lineRule="auto"/>
      <w:ind/>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sz w:val="22"/>
      </w:rPr>
      <w:pPr>
        <w:pBdr/>
        <w:spacing/>
        <w:ind/>
      </w:pPr>
      <w:tblPr>
        <w:tblBorders/>
      </w:tblPr>
      <w:tcPr>
        <w:shd w:val="clear" w:color="ffffff" w:fill="fdead9" w:themeFill="accent6" w:themeFillTint="34"/>
        <w:tcBorders/>
      </w:tcPr>
    </w:tblStylePr>
    <w:tblStylePr w:type="band1Vert">
      <w:rPr>
        <w:sz w:val="22"/>
      </w:rPr>
      <w:pPr>
        <w:pBdr/>
        <w:spacing/>
        <w:ind/>
      </w:pPr>
      <w:tblPr>
        <w:tblBorders/>
      </w:tblPr>
      <w:tcPr>
        <w:shd w:val="clear" w:color="ffffff"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2">
    <w:name w:val="Grid Table 3 - Accent 1"/>
    <w:basedOn w:val="1078"/>
    <w:uiPriority w:val="99"/>
    <w:pPr>
      <w:pBdr/>
      <w:spacing w:after="0" w:line="240" w:lineRule="auto"/>
      <w:ind/>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sz w:val="22"/>
      </w:rPr>
      <w:pPr>
        <w:pBdr/>
        <w:spacing/>
        <w:ind/>
      </w:pPr>
      <w:tblPr>
        <w:tblBorders/>
      </w:tblPr>
      <w:tcPr>
        <w:shd w:val="clear" w:color="ffffff" w:fill="dbe5f2" w:themeFill="accent1" w:themeFillTint="34"/>
        <w:tcBorders/>
      </w:tcPr>
    </w:tblStylePr>
    <w:tblStylePr w:type="band1Vert">
      <w:rPr>
        <w:sz w:val="22"/>
      </w:rPr>
      <w:pPr>
        <w:pBdr/>
        <w:spacing/>
        <w:ind/>
      </w:pPr>
      <w:tblPr>
        <w:tblBorders/>
      </w:tblPr>
      <w:tcPr>
        <w:shd w:val="clear" w:color="ffffff"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3">
    <w:name w:val="Grid Table 3 - Accent 2"/>
    <w:basedOn w:val="1078"/>
    <w:uiPriority w:val="99"/>
    <w:pPr>
      <w:pBdr/>
      <w:spacing w:after="0" w:line="240" w:lineRule="auto"/>
      <w:ind/>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sz w:val="22"/>
      </w:rPr>
      <w:pPr>
        <w:pBdr/>
        <w:spacing/>
        <w:ind/>
      </w:pPr>
      <w:tblPr>
        <w:tblBorders/>
      </w:tblPr>
      <w:tcPr>
        <w:shd w:val="clear" w:color="ffffff" w:fill="f3dddc" w:themeFill="accent2" w:themeFillTint="32"/>
        <w:tcBorders/>
      </w:tcPr>
    </w:tblStylePr>
    <w:tblStylePr w:type="band1Vert">
      <w:rPr>
        <w:sz w:val="22"/>
      </w:rPr>
      <w:pPr>
        <w:pBdr/>
        <w:spacing/>
        <w:ind/>
      </w:pPr>
      <w:tblPr>
        <w:tblBorders/>
      </w:tblPr>
      <w:tcPr>
        <w:shd w:val="clear" w:color="ffffff"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Grid Table 3 - Accent 3"/>
    <w:basedOn w:val="1078"/>
    <w:uiPriority w:val="99"/>
    <w:pPr>
      <w:pBdr/>
      <w:spacing w:after="0" w:line="240" w:lineRule="auto"/>
      <w:ind/>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sz w:val="22"/>
      </w:rPr>
      <w:pPr>
        <w:pBdr/>
        <w:spacing/>
        <w:ind/>
      </w:pPr>
      <w:tblPr>
        <w:tblBorders/>
      </w:tblPr>
      <w:tcPr>
        <w:shd w:val="clear" w:color="ffffff" w:fill="ebf1dd" w:themeFill="accent3" w:themeFillTint="34"/>
        <w:tcBorders/>
      </w:tcPr>
    </w:tblStylePr>
    <w:tblStylePr w:type="band1Vert">
      <w:rPr>
        <w:sz w:val="22"/>
      </w:rPr>
      <w:pPr>
        <w:pBdr/>
        <w:spacing/>
        <w:ind/>
      </w:pPr>
      <w:tblPr>
        <w:tblBorders/>
      </w:tblPr>
      <w:tcPr>
        <w:shd w:val="clear" w:color="ffffff"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Grid Table 3 - Accent 4"/>
    <w:basedOn w:val="1078"/>
    <w:uiPriority w:val="99"/>
    <w:pPr>
      <w:pBdr/>
      <w:spacing w:after="0" w:line="240" w:lineRule="auto"/>
      <w:ind/>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sz w:val="22"/>
      </w:rPr>
      <w:pPr>
        <w:pBdr/>
        <w:spacing/>
        <w:ind/>
      </w:pPr>
      <w:tblPr>
        <w:tblBorders/>
      </w:tblPr>
      <w:tcPr>
        <w:shd w:val="clear" w:color="ffffff" w:fill="e5dfec" w:themeFill="accent4" w:themeFillTint="34"/>
        <w:tcBorders/>
      </w:tcPr>
    </w:tblStylePr>
    <w:tblStylePr w:type="band1Vert">
      <w:rPr>
        <w:sz w:val="22"/>
      </w:rPr>
      <w:pPr>
        <w:pBdr/>
        <w:spacing/>
        <w:ind/>
      </w:pPr>
      <w:tblPr>
        <w:tblBorders/>
      </w:tblPr>
      <w:tcPr>
        <w:shd w:val="clear" w:color="ffffff"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Grid Table 3 - Accent 5"/>
    <w:basedOn w:val="1078"/>
    <w:uiPriority w:val="99"/>
    <w:pPr>
      <w:pBdr/>
      <w:spacing w:after="0" w:line="240" w:lineRule="auto"/>
      <w:ind/>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sz w:val="22"/>
      </w:rPr>
      <w:pPr>
        <w:pBdr/>
        <w:spacing/>
        <w:ind/>
      </w:pPr>
      <w:tblPr>
        <w:tblBorders/>
      </w:tblPr>
      <w:tcPr>
        <w:shd w:val="clear" w:color="ffffff" w:fill="daeef3" w:themeFill="accent5" w:themeFillTint="34"/>
        <w:tcBorders/>
      </w:tcPr>
    </w:tblStylePr>
    <w:tblStylePr w:type="band1Vert">
      <w:rPr>
        <w:sz w:val="22"/>
      </w:rPr>
      <w:pPr>
        <w:pBdr/>
        <w:spacing/>
        <w:ind/>
      </w:pPr>
      <w:tblPr>
        <w:tblBorders/>
      </w:tblPr>
      <w:tcPr>
        <w:shd w:val="clear" w:color="ffffff"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Grid Table 3 - Accent 6"/>
    <w:basedOn w:val="1078"/>
    <w:uiPriority w:val="99"/>
    <w:pPr>
      <w:pBdr/>
      <w:spacing w:after="0" w:line="240" w:lineRule="auto"/>
      <w:ind/>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sz w:val="22"/>
      </w:rPr>
      <w:pPr>
        <w:pBdr/>
        <w:spacing/>
        <w:ind/>
      </w:pPr>
      <w:tblPr>
        <w:tblBorders/>
      </w:tblPr>
      <w:tcPr>
        <w:shd w:val="clear" w:color="ffffff" w:fill="fdead9" w:themeFill="accent6" w:themeFillTint="34"/>
        <w:tcBorders/>
      </w:tcPr>
    </w:tblStylePr>
    <w:tblStylePr w:type="band1Vert">
      <w:rPr>
        <w:sz w:val="22"/>
      </w:rPr>
      <w:pPr>
        <w:pBdr/>
        <w:spacing/>
        <w:ind/>
      </w:pPr>
      <w:tblPr>
        <w:tblBorders/>
      </w:tblPr>
      <w:tcPr>
        <w:shd w:val="clear" w:color="ffffff"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Grid Table 4 - Accent 1"/>
    <w:basedOn w:val="1078"/>
    <w:uiPriority w:val="59"/>
    <w:pPr>
      <w:pBdr/>
      <w:spacing w:after="0" w:line="240" w:lineRule="auto"/>
      <w:ind/>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sz w:val="22"/>
      </w:rPr>
      <w:pPr>
        <w:pBdr/>
        <w:spacing/>
        <w:ind/>
      </w:pPr>
      <w:tblPr>
        <w:tblBorders/>
      </w:tblPr>
      <w:tcPr>
        <w:shd w:val="clear" w:color="ffffff" w:fill="dce6f2" w:themeFill="accent1" w:themeFillTint="32"/>
        <w:tcBorders/>
      </w:tcPr>
    </w:tblStylePr>
    <w:tblStylePr w:type="band1Vert">
      <w:rPr>
        <w:sz w:val="22"/>
      </w:rPr>
      <w:pPr>
        <w:pBdr/>
        <w:spacing/>
        <w:ind/>
      </w:pPr>
      <w:tblPr>
        <w:tblBorders/>
      </w:tblPr>
      <w:tcPr>
        <w:shd w:val="clear" w:color="ffffff"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5d8bc2" w:themeFill="accent1" w:themeFillTint="EA"/>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Grid Table 4 - Accent 2"/>
    <w:basedOn w:val="1078"/>
    <w:uiPriority w:val="59"/>
    <w:pPr>
      <w:pBdr/>
      <w:spacing w:after="0" w:line="240" w:lineRule="auto"/>
      <w:ind/>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sz w:val="22"/>
      </w:rPr>
      <w:pPr>
        <w:pBdr/>
        <w:spacing/>
        <w:ind/>
      </w:pPr>
      <w:tblPr>
        <w:tblBorders/>
      </w:tblPr>
      <w:tcPr>
        <w:shd w:val="clear" w:color="ffffff" w:fill="f3dddc" w:themeFill="accent2" w:themeFillTint="32"/>
        <w:tcBorders/>
      </w:tcPr>
    </w:tblStylePr>
    <w:tblStylePr w:type="band1Vert">
      <w:rPr>
        <w:sz w:val="22"/>
      </w:rPr>
      <w:pPr>
        <w:pBdr/>
        <w:spacing/>
        <w:ind/>
      </w:pPr>
      <w:tblPr>
        <w:tblBorders/>
      </w:tblPr>
      <w:tcPr>
        <w:shd w:val="clear" w:color="ffffff"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da9796" w:themeFill="accent2" w:themeFillTint="97"/>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2"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Grid Table 4 - Accent 3"/>
    <w:basedOn w:val="1078"/>
    <w:uiPriority w:val="59"/>
    <w:pPr>
      <w:pBdr/>
      <w:spacing w:after="0" w:line="240" w:lineRule="auto"/>
      <w:ind/>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sz w:val="22"/>
      </w:rPr>
      <w:pPr>
        <w:pBdr/>
        <w:spacing/>
        <w:ind/>
      </w:pPr>
      <w:tblPr>
        <w:tblBorders/>
      </w:tblPr>
      <w:tcPr>
        <w:shd w:val="clear" w:color="ffffff" w:fill="ebf1dd" w:themeFill="accent3" w:themeFillTint="34"/>
        <w:tcBorders/>
      </w:tcPr>
    </w:tblStylePr>
    <w:tblStylePr w:type="band1Vert">
      <w:rPr>
        <w:sz w:val="22"/>
      </w:rPr>
      <w:pPr>
        <w:pBdr/>
        <w:spacing/>
        <w:ind/>
      </w:pPr>
      <w:tblPr>
        <w:tblBorders/>
      </w:tblPr>
      <w:tcPr>
        <w:shd w:val="clear" w:color="ffffff"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9bbb5a" w:themeFill="accent3" w:themeFillTint="FE"/>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3"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Grid Table 4 - Accent 4"/>
    <w:basedOn w:val="1078"/>
    <w:uiPriority w:val="59"/>
    <w:pPr>
      <w:pBdr/>
      <w:spacing w:after="0" w:line="240" w:lineRule="auto"/>
      <w:ind/>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sz w:val="22"/>
      </w:rPr>
      <w:pPr>
        <w:pBdr/>
        <w:spacing/>
        <w:ind/>
      </w:pPr>
      <w:tblPr>
        <w:tblBorders/>
      </w:tblPr>
      <w:tcPr>
        <w:shd w:val="clear" w:color="ffffff" w:fill="e5dfec" w:themeFill="accent4" w:themeFillTint="34"/>
        <w:tcBorders/>
      </w:tcPr>
    </w:tblStylePr>
    <w:tblStylePr w:type="band1Vert">
      <w:rPr>
        <w:sz w:val="22"/>
      </w:rPr>
      <w:pPr>
        <w:pBdr/>
        <w:spacing/>
        <w:ind/>
      </w:pPr>
      <w:tblPr>
        <w:tblBorders/>
      </w:tblPr>
      <w:tcPr>
        <w:shd w:val="clear" w:color="ffffff"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b2a1c7" w:themeFill="accent4" w:themeFillTint="9A"/>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4"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Grid Table 4 - Accent 5"/>
    <w:basedOn w:val="1078"/>
    <w:uiPriority w:val="59"/>
    <w:pPr>
      <w:pBdr/>
      <w:spacing w:after="0" w:line="240" w:lineRule="auto"/>
      <w:ind/>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sz w:val="22"/>
      </w:rPr>
      <w:pPr>
        <w:pBdr/>
        <w:spacing/>
        <w:ind/>
      </w:pPr>
      <w:tblPr>
        <w:tblBorders/>
      </w:tblPr>
      <w:tcPr>
        <w:shd w:val="clear" w:color="ffffff" w:fill="daeef3" w:themeFill="accent5" w:themeFillTint="34"/>
        <w:tcBorders/>
      </w:tcPr>
    </w:tblStylePr>
    <w:tblStylePr w:type="band1Vert">
      <w:rPr>
        <w:sz w:val="22"/>
      </w:rPr>
      <w:pPr>
        <w:pBdr/>
        <w:spacing/>
        <w:ind/>
      </w:pPr>
      <w:tblPr>
        <w:tblBorders/>
      </w:tblPr>
      <w:tcPr>
        <w:shd w:val="clear" w:color="ffffff"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Grid Table 4 - Accent 6"/>
    <w:basedOn w:val="1078"/>
    <w:uiPriority w:val="59"/>
    <w:pPr>
      <w:pBdr/>
      <w:spacing w:after="0" w:line="240" w:lineRule="auto"/>
      <w:ind/>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sz w:val="22"/>
      </w:rPr>
      <w:pPr>
        <w:pBdr/>
        <w:spacing/>
        <w:ind/>
      </w:pPr>
      <w:tblPr>
        <w:tblBorders/>
      </w:tblPr>
      <w:tcPr>
        <w:shd w:val="clear" w:color="ffffff" w:fill="fdead9" w:themeFill="accent6" w:themeFillTint="34"/>
        <w:tcBorders/>
      </w:tcPr>
    </w:tblStylePr>
    <w:tblStylePr w:type="band1Vert">
      <w:rPr>
        <w:sz w:val="22"/>
      </w:rPr>
      <w:pPr>
        <w:pBdr/>
        <w:spacing/>
        <w:ind/>
      </w:pPr>
      <w:tblPr>
        <w:tblBorders/>
      </w:tblPr>
      <w:tcPr>
        <w:shd w:val="clear" w:color="ffffff"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Grid Table 5 Dark - Accent 2"/>
    <w:basedOn w:val="1078"/>
    <w:uiPriority w:val="99"/>
    <w:pPr>
      <w:pBdr/>
      <w:spacing w:after="0" w:line="240" w:lineRule="auto"/>
      <w:ind/>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cPr>
      <w:tcBorders/>
    </w:tcPr>
    <w:tblStylePr w:type="band1Horz">
      <w:pPr>
        <w:pBdr/>
        <w:spacing/>
        <w:ind/>
      </w:pPr>
      <w:tblPr>
        <w:tblBorders/>
      </w:tblPr>
      <w:tcPr>
        <w:shd w:val="clear" w:color="ffffff" w:fill="e2afad" w:themeFill="accent2" w:themeFillTint="75"/>
        <w:tcBorders/>
      </w:tcPr>
    </w:tblStylePr>
    <w:tblStylePr w:type="band1Vert">
      <w:pPr>
        <w:pBdr/>
        <w:spacing/>
        <w:ind/>
      </w:pPr>
      <w:tblPr>
        <w:tblBorders/>
      </w:tblPr>
      <w:tcPr>
        <w:shd w:val="clear" w:color="ffffff"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shd w:val="clear" w:color="ffffff" w:fill="c0504d" w:themeFill="accent2"/>
        <w:tcBorders/>
      </w:tcPr>
    </w:tblStylePr>
    <w:tblStylePr w:type="firstRow">
      <w:rPr>
        <w:b/>
        <w:sz w:val="22"/>
      </w:rPr>
      <w:pPr>
        <w:pBdr/>
        <w:spacing/>
        <w:ind/>
      </w:pPr>
      <w:tblPr>
        <w:tblBorders/>
      </w:tblPr>
      <w:tcPr>
        <w:shd w:val="clear" w:color="ffffff" w:fill="c0504d" w:themeFill="accent2"/>
        <w:tcBorders/>
      </w:tcPr>
    </w:tblStylePr>
    <w:tblStylePr w:type="lastCol">
      <w:rPr>
        <w:b/>
        <w:sz w:val="22"/>
      </w:rPr>
      <w:pPr>
        <w:pBdr/>
        <w:spacing/>
        <w:ind/>
      </w:pPr>
      <w:tblPr>
        <w:tblBorders/>
      </w:tblPr>
      <w:tcPr>
        <w:shd w:val="clear" w:color="ffffff" w:fill="c0504d" w:themeFill="accent2"/>
        <w:tcBorders/>
      </w:tcPr>
    </w:tblStylePr>
    <w:tblStylePr w:type="lastRow">
      <w:rPr>
        <w:b/>
        <w:sz w:val="22"/>
      </w:rPr>
      <w:pPr>
        <w:pBdr/>
        <w:spacing/>
        <w:ind/>
      </w:pPr>
      <w:tblPr>
        <w:tblBorders/>
      </w:tblPr>
      <w:tcPr>
        <w:shd w:val="clear" w:color="ffffff"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name w:val="Grid Table 5 Dark - Accent 3"/>
    <w:basedOn w:val="1078"/>
    <w:uiPriority w:val="99"/>
    <w:pPr>
      <w:pBdr/>
      <w:spacing w:after="0" w:line="240" w:lineRule="auto"/>
      <w:ind/>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cPr>
      <w:tcBorders/>
    </w:tcPr>
    <w:tblStylePr w:type="band1Horz">
      <w:pPr>
        <w:pBdr/>
        <w:spacing/>
        <w:ind/>
      </w:pPr>
      <w:tblPr>
        <w:tblBorders/>
      </w:tblPr>
      <w:tcPr>
        <w:shd w:val="clear" w:color="ffffff" w:fill="d1e0b3" w:themeFill="accent3" w:themeFillTint="75"/>
        <w:tcBorders/>
      </w:tcPr>
    </w:tblStylePr>
    <w:tblStylePr w:type="band1Vert">
      <w:pPr>
        <w:pBdr/>
        <w:spacing/>
        <w:ind/>
      </w:pPr>
      <w:tblPr>
        <w:tblBorders/>
      </w:tblPr>
      <w:tcPr>
        <w:shd w:val="clear" w:color="ffffff"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shd w:val="clear" w:color="ffffff" w:fill="9bbb59" w:themeFill="accent3"/>
        <w:tcBorders/>
      </w:tcPr>
    </w:tblStylePr>
    <w:tblStylePr w:type="firstRow">
      <w:rPr>
        <w:b/>
        <w:sz w:val="22"/>
      </w:rPr>
      <w:pPr>
        <w:pBdr/>
        <w:spacing/>
        <w:ind/>
      </w:pPr>
      <w:tblPr>
        <w:tblBorders/>
      </w:tblPr>
      <w:tcPr>
        <w:shd w:val="clear" w:color="ffffff" w:fill="9bbb59" w:themeFill="accent3"/>
        <w:tcBorders/>
      </w:tcPr>
    </w:tblStylePr>
    <w:tblStylePr w:type="lastCol">
      <w:rPr>
        <w:b/>
        <w:sz w:val="22"/>
      </w:rPr>
      <w:pPr>
        <w:pBdr/>
        <w:spacing/>
        <w:ind/>
      </w:pPr>
      <w:tblPr>
        <w:tblBorders/>
      </w:tblPr>
      <w:tcPr>
        <w:shd w:val="clear" w:color="ffffff" w:fill="9bbb59" w:themeFill="accent3"/>
        <w:tcBorders/>
      </w:tcPr>
    </w:tblStylePr>
    <w:tblStylePr w:type="lastRow">
      <w:rPr>
        <w:b/>
        <w:sz w:val="22"/>
      </w:rPr>
      <w:pPr>
        <w:pBdr/>
        <w:spacing/>
        <w:ind/>
      </w:pPr>
      <w:tblPr>
        <w:tblBorders/>
      </w:tblPr>
      <w:tcPr>
        <w:shd w:val="clear" w:color="ffffff"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name w:val="Grid Table 5 Dark - Accent 5"/>
    <w:basedOn w:val="1078"/>
    <w:uiPriority w:val="99"/>
    <w:pPr>
      <w:pBdr/>
      <w:spacing w:after="0" w:line="240" w:lineRule="auto"/>
      <w:ind/>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cPr>
      <w:tcBorders/>
    </w:tcPr>
    <w:tblStylePr w:type="band1Horz">
      <w:pPr>
        <w:pBdr/>
        <w:spacing/>
        <w:ind/>
      </w:pPr>
      <w:tblPr>
        <w:tblBorders/>
      </w:tblPr>
      <w:tcPr>
        <w:shd w:val="clear" w:color="ffffff" w:fill="acd9e5" w:themeFill="accent5" w:themeFillTint="75"/>
        <w:tcBorders/>
      </w:tcPr>
    </w:tblStylePr>
    <w:tblStylePr w:type="band1Vert">
      <w:pPr>
        <w:pBdr/>
        <w:spacing/>
        <w:ind/>
      </w:pPr>
      <w:tblPr>
        <w:tblBorders/>
      </w:tblPr>
      <w:tcPr>
        <w:shd w:val="clear" w:color="ffffff"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shd w:val="clear" w:color="ffffff" w:fill="4bacc6" w:themeFill="accent5"/>
        <w:tcBorders/>
      </w:tcPr>
    </w:tblStylePr>
    <w:tblStylePr w:type="firstRow">
      <w:rPr>
        <w:b/>
        <w:sz w:val="22"/>
      </w:rPr>
      <w:pPr>
        <w:pBdr/>
        <w:spacing/>
        <w:ind/>
      </w:pPr>
      <w:tblPr>
        <w:tblBorders/>
      </w:tblPr>
      <w:tcPr>
        <w:shd w:val="clear" w:color="ffffff" w:fill="4bacc6" w:themeFill="accent5"/>
        <w:tcBorders/>
      </w:tcPr>
    </w:tblStylePr>
    <w:tblStylePr w:type="lastCol">
      <w:rPr>
        <w:b/>
        <w:sz w:val="22"/>
      </w:rPr>
      <w:pPr>
        <w:pBdr/>
        <w:spacing/>
        <w:ind/>
      </w:pPr>
      <w:tblPr>
        <w:tblBorders/>
      </w:tblPr>
      <w:tcPr>
        <w:shd w:val="clear" w:color="ffffff" w:fill="4bacc6" w:themeFill="accent5"/>
        <w:tcBorders/>
      </w:tcPr>
    </w:tblStylePr>
    <w:tblStylePr w:type="lastRow">
      <w:rPr>
        <w:b/>
        <w:sz w:val="22"/>
      </w:rPr>
      <w:pPr>
        <w:pBdr/>
        <w:spacing/>
        <w:ind/>
      </w:pPr>
      <w:tblPr>
        <w:tblBorders/>
      </w:tblPr>
      <w:tcPr>
        <w:shd w:val="clear" w:color="ffffff"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name w:val="Grid Table 5 Dark - Accent 6"/>
    <w:basedOn w:val="1078"/>
    <w:uiPriority w:val="99"/>
    <w:pPr>
      <w:pBdr/>
      <w:spacing w:after="0" w:line="240" w:lineRule="auto"/>
      <w:ind/>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cPr>
      <w:tcBorders/>
    </w:tcPr>
    <w:tblStylePr w:type="band1Horz">
      <w:pPr>
        <w:pBdr/>
        <w:spacing/>
        <w:ind/>
      </w:pPr>
      <w:tblPr>
        <w:tblBorders/>
      </w:tblPr>
      <w:tcPr>
        <w:shd w:val="clear" w:color="ffffff" w:fill="fbcfaa" w:themeFill="accent6" w:themeFillTint="75"/>
        <w:tcBorders/>
      </w:tcPr>
    </w:tblStylePr>
    <w:tblStylePr w:type="band1Vert">
      <w:pPr>
        <w:pBdr/>
        <w:spacing/>
        <w:ind/>
      </w:pPr>
      <w:tblPr>
        <w:tblBorders/>
      </w:tblPr>
      <w:tcPr>
        <w:shd w:val="clear" w:color="ffffff"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shd w:val="clear" w:color="ffffff" w:fill="f79646" w:themeFill="accent6"/>
        <w:tcBorders/>
      </w:tcPr>
    </w:tblStylePr>
    <w:tblStylePr w:type="firstRow">
      <w:rPr>
        <w:b/>
        <w:sz w:val="22"/>
      </w:rPr>
      <w:pPr>
        <w:pBdr/>
        <w:spacing/>
        <w:ind/>
      </w:pPr>
      <w:tblPr>
        <w:tblBorders/>
      </w:tblPr>
      <w:tcPr>
        <w:shd w:val="clear" w:color="ffffff" w:fill="f79646" w:themeFill="accent6"/>
        <w:tcBorders/>
      </w:tcPr>
    </w:tblStylePr>
    <w:tblStylePr w:type="lastCol">
      <w:rPr>
        <w:b/>
        <w:sz w:val="22"/>
      </w:rPr>
      <w:pPr>
        <w:pBdr/>
        <w:spacing/>
        <w:ind/>
      </w:pPr>
      <w:tblPr>
        <w:tblBorders/>
      </w:tblPr>
      <w:tcPr>
        <w:shd w:val="clear" w:color="ffffff" w:fill="f79646" w:themeFill="accent6"/>
        <w:tcBorders/>
      </w:tcPr>
    </w:tblStylePr>
    <w:tblStylePr w:type="lastRow">
      <w:rPr>
        <w:b/>
        <w:sz w:val="22"/>
      </w:rPr>
      <w:pPr>
        <w:pBdr/>
        <w:spacing/>
        <w:ind/>
      </w:pPr>
      <w:tblPr>
        <w:tblBorders/>
      </w:tblPr>
      <w:tcPr>
        <w:shd w:val="clear" w:color="ffffff"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name w:val="List Table 1 Light - Accent 1"/>
    <w:basedOn w:val="1078"/>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fffff" w:fill="d3dfee" w:themeFill="accent1" w:themeFillTint="40"/>
        <w:tcBorders/>
      </w:tcPr>
    </w:tblStylePr>
    <w:tblStylePr w:type="band1Vert">
      <w:pPr>
        <w:pBdr/>
        <w:spacing/>
        <w:ind/>
      </w:pPr>
      <w:tblPr>
        <w:tblBorders/>
      </w:tblPr>
      <w:tcPr>
        <w:shd w:val="clear" w:color="ffffff"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name w:val="List Table 1 Light - Accent 2"/>
    <w:basedOn w:val="1078"/>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fffff" w:fill="efd3d2" w:themeFill="accent2" w:themeFillTint="40"/>
        <w:tcBorders/>
      </w:tcPr>
    </w:tblStylePr>
    <w:tblStylePr w:type="band1Vert">
      <w:pPr>
        <w:pBdr/>
        <w:spacing/>
        <w:ind/>
      </w:pPr>
      <w:tblPr>
        <w:tblBorders/>
      </w:tblPr>
      <w:tcPr>
        <w:shd w:val="clear" w:color="ffffff"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name w:val="List Table 1 Light - Accent 3"/>
    <w:basedOn w:val="1078"/>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fffff" w:fill="e6eed5" w:themeFill="accent3" w:themeFillTint="40"/>
        <w:tcBorders/>
      </w:tcPr>
    </w:tblStylePr>
    <w:tblStylePr w:type="band1Vert">
      <w:pPr>
        <w:pBdr/>
        <w:spacing/>
        <w:ind/>
      </w:pPr>
      <w:tblPr>
        <w:tblBorders/>
      </w:tblPr>
      <w:tcPr>
        <w:shd w:val="clear" w:color="ffffff"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name w:val="List Table 1 Light - Accent 4"/>
    <w:basedOn w:val="1078"/>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fffff" w:fill="dfd8e8" w:themeFill="accent4" w:themeFillTint="40"/>
        <w:tcBorders/>
      </w:tcPr>
    </w:tblStylePr>
    <w:tblStylePr w:type="band1Vert">
      <w:pPr>
        <w:pBdr/>
        <w:spacing/>
        <w:ind/>
      </w:pPr>
      <w:tblPr>
        <w:tblBorders/>
      </w:tblPr>
      <w:tcPr>
        <w:shd w:val="clear" w:color="ffffff"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name w:val="List Table 1 Light - Accent 5"/>
    <w:basedOn w:val="1078"/>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fffff" w:fill="d2eaf1" w:themeFill="accent5" w:themeFillTint="40"/>
        <w:tcBorders/>
      </w:tcPr>
    </w:tblStylePr>
    <w:tblStylePr w:type="band1Vert">
      <w:pPr>
        <w:pBdr/>
        <w:spacing/>
        <w:ind/>
      </w:pPr>
      <w:tblPr>
        <w:tblBorders/>
      </w:tblPr>
      <w:tcPr>
        <w:shd w:val="clear" w:color="ffffff"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name w:val="List Table 1 Light - Accent 6"/>
    <w:basedOn w:val="1078"/>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fffff" w:fill="fde5d1" w:themeFill="accent6" w:themeFillTint="40"/>
        <w:tcBorders/>
      </w:tcPr>
    </w:tblStylePr>
    <w:tblStylePr w:type="band1Vert">
      <w:pPr>
        <w:pBdr/>
        <w:spacing/>
        <w:ind/>
      </w:pPr>
      <w:tblPr>
        <w:tblBorders/>
      </w:tblPr>
      <w:tcPr>
        <w:shd w:val="clear" w:color="ffffff"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name w:val="List Table 2 - Accent 1"/>
    <w:basedOn w:val="1078"/>
    <w:uiPriority w:val="99"/>
    <w:pPr>
      <w:pBdr/>
      <w:spacing w:after="0" w:line="240" w:lineRule="auto"/>
      <w:ind/>
    </w:pPr>
    <w:tblPr>
      <w:tblStyleRowBandSize w:val="1"/>
      <w:tblStyleColBandSize w:val="1"/>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sz w:val="22"/>
      </w:rPr>
      <w:pPr>
        <w:pBdr/>
        <w:spacing/>
        <w:ind/>
      </w:pPr>
      <w:tblPr>
        <w:tblBorders/>
      </w:tblPr>
      <w:tcPr>
        <w:shd w:val="clear" w:color="ffffff" w:fill="d3dfee" w:themeFill="accent1" w:themeFillTint="40"/>
        <w:tcBorders/>
      </w:tcPr>
    </w:tblStylePr>
    <w:tblStylePr w:type="band1Vert">
      <w:rPr>
        <w:sz w:val="22"/>
      </w:rPr>
      <w:pPr>
        <w:pBdr/>
        <w:spacing/>
        <w:ind/>
      </w:pPr>
      <w:tblPr>
        <w:tblBorders/>
      </w:tblPr>
      <w:tcPr>
        <w:shd w:val="clear" w:color="ffffff"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000000" w:themeColor="accent1" w:sz="4" w:space="0"/>
          <w:left w:val="none" w:color="000000" w:sz="4" w:space="0"/>
          <w:bottom w:val="single" w:color="000000" w:themeColor="accent1"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000000" w:themeColor="accent1" w:sz="4" w:space="0"/>
          <w:left w:val="none" w:color="000000" w:sz="4" w:space="0"/>
          <w:bottom w:val="single" w:color="000000" w:themeColor="accent1"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name w:val="List Table 2 - Accent 2"/>
    <w:basedOn w:val="1078"/>
    <w:uiPriority w:val="99"/>
    <w:pPr>
      <w:pBdr/>
      <w:spacing w:after="0" w:line="240" w:lineRule="auto"/>
      <w:ind/>
    </w:pPr>
    <w:tblPr>
      <w:tblStyleRowBandSize w:val="1"/>
      <w:tblStyleColBandSize w:val="1"/>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sz w:val="22"/>
      </w:rPr>
      <w:pPr>
        <w:pBdr/>
        <w:spacing/>
        <w:ind/>
      </w:pPr>
      <w:tblPr>
        <w:tblBorders/>
      </w:tblPr>
      <w:tcPr>
        <w:shd w:val="clear" w:color="ffffff" w:fill="efd3d2" w:themeFill="accent2" w:themeFillTint="40"/>
        <w:tcBorders/>
      </w:tcPr>
    </w:tblStylePr>
    <w:tblStylePr w:type="band1Vert">
      <w:rPr>
        <w:sz w:val="22"/>
      </w:rPr>
      <w:pPr>
        <w:pBdr/>
        <w:spacing/>
        <w:ind/>
      </w:pPr>
      <w:tblPr>
        <w:tblBorders/>
      </w:tblPr>
      <w:tcPr>
        <w:shd w:val="clear" w:color="ffffff"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000000" w:themeColor="accent2" w:sz="4" w:space="0"/>
          <w:left w:val="none" w:color="000000" w:sz="4" w:space="0"/>
          <w:bottom w:val="single" w:color="000000" w:themeColor="accent2"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000000" w:themeColor="accent2" w:sz="4" w:space="0"/>
          <w:left w:val="none" w:color="000000" w:sz="4" w:space="0"/>
          <w:bottom w:val="single" w:color="000000" w:themeColor="accent2"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name w:val="List Table 2 - Accent 3"/>
    <w:basedOn w:val="1078"/>
    <w:uiPriority w:val="99"/>
    <w:pPr>
      <w:pBdr/>
      <w:spacing w:after="0" w:line="240" w:lineRule="auto"/>
      <w:ind/>
    </w:pPr>
    <w:tblPr>
      <w:tblStyleRowBandSize w:val="1"/>
      <w:tblStyleColBandSize w:val="1"/>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sz w:val="22"/>
      </w:rPr>
      <w:pPr>
        <w:pBdr/>
        <w:spacing/>
        <w:ind/>
      </w:pPr>
      <w:tblPr>
        <w:tblBorders/>
      </w:tblPr>
      <w:tcPr>
        <w:shd w:val="clear" w:color="ffffff" w:fill="e6eed5" w:themeFill="accent3" w:themeFillTint="40"/>
        <w:tcBorders/>
      </w:tcPr>
    </w:tblStylePr>
    <w:tblStylePr w:type="band1Vert">
      <w:rPr>
        <w:sz w:val="22"/>
      </w:rPr>
      <w:pPr>
        <w:pBdr/>
        <w:spacing/>
        <w:ind/>
      </w:pPr>
      <w:tblPr>
        <w:tblBorders/>
      </w:tblPr>
      <w:tcPr>
        <w:shd w:val="clear" w:color="ffffff"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000000" w:themeColor="accent3" w:sz="4" w:space="0"/>
          <w:left w:val="none" w:color="000000" w:sz="4" w:space="0"/>
          <w:bottom w:val="single" w:color="000000" w:themeColor="accent3"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000000" w:themeColor="accent3" w:sz="4" w:space="0"/>
          <w:left w:val="none" w:color="000000" w:sz="4" w:space="0"/>
          <w:bottom w:val="single" w:color="000000" w:themeColor="accent3"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name w:val="List Table 2 - Accent 4"/>
    <w:basedOn w:val="1078"/>
    <w:uiPriority w:val="99"/>
    <w:pPr>
      <w:pBdr/>
      <w:spacing w:after="0" w:line="240" w:lineRule="auto"/>
      <w:ind/>
    </w:pPr>
    <w:tblPr>
      <w:tblStyleRowBandSize w:val="1"/>
      <w:tblStyleColBandSize w:val="1"/>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sz w:val="22"/>
      </w:rPr>
      <w:pPr>
        <w:pBdr/>
        <w:spacing/>
        <w:ind/>
      </w:pPr>
      <w:tblPr>
        <w:tblBorders/>
      </w:tblPr>
      <w:tcPr>
        <w:shd w:val="clear" w:color="ffffff" w:fill="dfd8e8" w:themeFill="accent4" w:themeFillTint="40"/>
        <w:tcBorders/>
      </w:tcPr>
    </w:tblStylePr>
    <w:tblStylePr w:type="band1Vert">
      <w:rPr>
        <w:sz w:val="22"/>
      </w:rPr>
      <w:pPr>
        <w:pBdr/>
        <w:spacing/>
        <w:ind/>
      </w:pPr>
      <w:tblPr>
        <w:tblBorders/>
      </w:tblPr>
      <w:tcPr>
        <w:shd w:val="clear" w:color="ffffff"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000000" w:themeColor="accent4" w:sz="4" w:space="0"/>
          <w:left w:val="none" w:color="000000" w:sz="4" w:space="0"/>
          <w:bottom w:val="single" w:color="000000" w:themeColor="accent4"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000000" w:themeColor="accent4" w:sz="4" w:space="0"/>
          <w:left w:val="none" w:color="000000" w:sz="4" w:space="0"/>
          <w:bottom w:val="single" w:color="000000" w:themeColor="accent4"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name w:val="List Table 2 - Accent 5"/>
    <w:basedOn w:val="1078"/>
    <w:uiPriority w:val="99"/>
    <w:pPr>
      <w:pBdr/>
      <w:spacing w:after="0" w:line="240" w:lineRule="auto"/>
      <w:ind/>
    </w:pPr>
    <w:tblPr>
      <w:tblStyleRowBandSize w:val="1"/>
      <w:tblStyleColBandSize w:val="1"/>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sz w:val="22"/>
      </w:rPr>
      <w:pPr>
        <w:pBdr/>
        <w:spacing/>
        <w:ind/>
      </w:pPr>
      <w:tblPr>
        <w:tblBorders/>
      </w:tblPr>
      <w:tcPr>
        <w:shd w:val="clear" w:color="ffffff" w:fill="d2eaf1" w:themeFill="accent5" w:themeFillTint="40"/>
        <w:tcBorders/>
      </w:tcPr>
    </w:tblStylePr>
    <w:tblStylePr w:type="band1Vert">
      <w:rPr>
        <w:sz w:val="22"/>
      </w:rPr>
      <w:pPr>
        <w:pBdr/>
        <w:spacing/>
        <w:ind/>
      </w:pPr>
      <w:tblPr>
        <w:tblBorders/>
      </w:tblPr>
      <w:tcPr>
        <w:shd w:val="clear" w:color="ffffff"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000000" w:themeColor="accent5" w:sz="4" w:space="0"/>
          <w:left w:val="none" w:color="000000" w:sz="4" w:space="0"/>
          <w:bottom w:val="single" w:color="000000" w:themeColor="accent5"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000000" w:themeColor="accent5" w:sz="4" w:space="0"/>
          <w:left w:val="none" w:color="000000" w:sz="4" w:space="0"/>
          <w:bottom w:val="single" w:color="000000" w:themeColor="accent5"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name w:val="List Table 2 - Accent 6"/>
    <w:basedOn w:val="1078"/>
    <w:uiPriority w:val="99"/>
    <w:pPr>
      <w:pBdr/>
      <w:spacing w:after="0" w:line="240" w:lineRule="auto"/>
      <w:ind/>
    </w:pPr>
    <w:tblPr>
      <w:tblStyleRowBandSize w:val="1"/>
      <w:tblStyleColBandSize w:val="1"/>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sz w:val="22"/>
      </w:rPr>
      <w:pPr>
        <w:pBdr/>
        <w:spacing/>
        <w:ind/>
      </w:pPr>
      <w:tblPr>
        <w:tblBorders/>
      </w:tblPr>
      <w:tcPr>
        <w:shd w:val="clear" w:color="ffffff" w:fill="fde5d1" w:themeFill="accent6" w:themeFillTint="40"/>
        <w:tcBorders/>
      </w:tcPr>
    </w:tblStylePr>
    <w:tblStylePr w:type="band1Vert">
      <w:rPr>
        <w:sz w:val="22"/>
      </w:rPr>
      <w:pPr>
        <w:pBdr/>
        <w:spacing/>
        <w:ind/>
      </w:pPr>
      <w:tblPr>
        <w:tblBorders/>
      </w:tblPr>
      <w:tcPr>
        <w:shd w:val="clear" w:color="ffffff"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000000" w:themeColor="accent6" w:sz="4" w:space="0"/>
          <w:left w:val="none" w:color="000000" w:sz="4" w:space="0"/>
          <w:bottom w:val="single" w:color="000000" w:themeColor="accent6"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000000" w:themeColor="accent6" w:sz="4" w:space="0"/>
          <w:left w:val="none" w:color="000000" w:sz="4" w:space="0"/>
          <w:bottom w:val="single" w:color="000000" w:themeColor="accent6"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name w:val="List Table 3 - Accent 1"/>
    <w:basedOn w:val="1078"/>
    <w:uiPriority w:val="99"/>
    <w:pPr>
      <w:pBdr/>
      <w:spacing w:after="0" w:line="240" w:lineRule="auto"/>
      <w:ind/>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sz w:val="22"/>
      </w:rPr>
      <w:pPr>
        <w:pBdr/>
        <w:spacing/>
        <w:ind/>
      </w:pPr>
      <w:tblPr>
        <w:tblBorders/>
      </w:tblPr>
      <w:tcPr>
        <w:tcBorders>
          <w:top w:val="single" w:color="000000" w:themeColor="accent1" w:sz="4" w:space="0"/>
          <w:bottom w:val="single" w:color="000000" w:themeColor="accent1" w:sz="4" w:space="0"/>
        </w:tcBorders>
      </w:tcPr>
    </w:tblStylePr>
    <w:tblStylePr w:type="band1Vert">
      <w:rPr>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4f81bd" w:themeFill="accent1"/>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name w:val="List Table 3 - Accent 2"/>
    <w:basedOn w:val="1078"/>
    <w:uiPriority w:val="99"/>
    <w:pPr>
      <w:pBdr/>
      <w:spacing w:after="0" w:line="240" w:lineRule="auto"/>
      <w:ind/>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sz w:val="22"/>
      </w:rPr>
      <w:pPr>
        <w:pBdr/>
        <w:spacing/>
        <w:ind/>
      </w:pPr>
      <w:tblPr>
        <w:tblBorders/>
      </w:tblPr>
      <w:tcPr>
        <w:tcBorders>
          <w:top w:val="single" w:color="000000" w:themeColor="accent2" w:sz="4" w:space="0"/>
          <w:bottom w:val="single" w:color="000000" w:themeColor="accent2" w:sz="4" w:space="0"/>
        </w:tcBorders>
      </w:tcPr>
    </w:tblStylePr>
    <w:tblStylePr w:type="band1Vert">
      <w:rPr>
        <w:sz w:val="22"/>
      </w:rPr>
      <w:pPr>
        <w:pBdr/>
        <w:spacing/>
        <w:ind/>
      </w:pPr>
      <w:tblPr>
        <w:tblBorders/>
      </w:tblPr>
      <w:tcPr>
        <w:tcBorders>
          <w:left w:val="single" w:color="000000" w:themeColor="accent2" w:sz="4" w:space="0"/>
          <w:right w:val="single" w:color="000000" w:themeColor="accent2"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da9796" w:themeFill="accent2" w:themeFillTint="97"/>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2">
    <w:name w:val="List Table 3 - Accent 3"/>
    <w:basedOn w:val="1078"/>
    <w:uiPriority w:val="99"/>
    <w:pPr>
      <w:pBdr/>
      <w:spacing w:after="0" w:line="240" w:lineRule="auto"/>
      <w:ind/>
    </w:pPr>
    <w:tblPr>
      <w:tblStyleRowBandSize w:val="1"/>
      <w:tblStyleColBandSize w:val="1"/>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sz w:val="22"/>
      </w:rPr>
      <w:pPr>
        <w:pBdr/>
        <w:spacing/>
        <w:ind/>
      </w:pPr>
      <w:tblPr>
        <w:tblBorders/>
      </w:tblPr>
      <w:tcPr>
        <w:tcBorders>
          <w:top w:val="single" w:color="000000" w:themeColor="accent3" w:sz="4" w:space="0"/>
          <w:bottom w:val="single" w:color="000000" w:themeColor="accent3" w:sz="4" w:space="0"/>
        </w:tcBorders>
      </w:tcPr>
    </w:tblStylePr>
    <w:tblStylePr w:type="band1Vert">
      <w:rPr>
        <w:sz w:val="22"/>
      </w:rPr>
      <w:pPr>
        <w:pBdr/>
        <w:spacing/>
        <w:ind/>
      </w:pPr>
      <w:tblPr>
        <w:tblBorders/>
      </w:tblPr>
      <w:tcPr>
        <w:tcBorders>
          <w:left w:val="single" w:color="000000" w:themeColor="accent3" w:sz="4" w:space="0"/>
          <w:right w:val="single" w:color="000000" w:themeColor="accent3"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c3d69c" w:themeFill="accent3" w:themeFillTint="98"/>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3">
    <w:name w:val="List Table 3 - Accent 4"/>
    <w:basedOn w:val="1078"/>
    <w:uiPriority w:val="99"/>
    <w:pPr>
      <w:pBdr/>
      <w:spacing w:after="0" w:line="240" w:lineRule="auto"/>
      <w:ind/>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sz w:val="22"/>
      </w:rPr>
      <w:pPr>
        <w:pBdr/>
        <w:spacing/>
        <w:ind/>
      </w:pPr>
      <w:tblPr>
        <w:tblBorders/>
      </w:tblPr>
      <w:tcPr>
        <w:tcBorders>
          <w:top w:val="single" w:color="000000" w:themeColor="accent4" w:sz="4" w:space="0"/>
          <w:bottom w:val="single" w:color="000000" w:themeColor="accent4" w:sz="4" w:space="0"/>
        </w:tcBorders>
      </w:tcPr>
    </w:tblStylePr>
    <w:tblStylePr w:type="band1Vert">
      <w:rPr>
        <w:sz w:val="22"/>
      </w:rPr>
      <w:pPr>
        <w:pBdr/>
        <w:spacing/>
        <w:ind/>
      </w:pPr>
      <w:tblPr>
        <w:tblBorders/>
      </w:tblPr>
      <w:tcPr>
        <w:tcBorders>
          <w:left w:val="single" w:color="000000" w:themeColor="accent4" w:sz="4" w:space="0"/>
          <w:right w:val="single" w:color="000000" w:themeColor="accent4"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b2a1c7" w:themeFill="accent4" w:themeFillTint="9A"/>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4">
    <w:name w:val="List Table 3 - Accent 5"/>
    <w:basedOn w:val="1078"/>
    <w:uiPriority w:val="99"/>
    <w:pPr>
      <w:pBdr/>
      <w:spacing w:after="0" w:line="240" w:lineRule="auto"/>
      <w:ind/>
    </w:pPr>
    <w:tblPr>
      <w:tblStyleRowBandSize w:val="1"/>
      <w:tblStyleColBandSize w:val="1"/>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sz w:val="22"/>
      </w:rPr>
      <w:pPr>
        <w:pBdr/>
        <w:spacing/>
        <w:ind/>
      </w:pPr>
      <w:tblPr>
        <w:tblBorders/>
      </w:tblPr>
      <w:tcPr>
        <w:tcBorders>
          <w:top w:val="single" w:color="000000" w:themeColor="accent5" w:sz="4" w:space="0"/>
          <w:bottom w:val="single" w:color="000000" w:themeColor="accent5" w:sz="4" w:space="0"/>
        </w:tcBorders>
      </w:tcPr>
    </w:tblStylePr>
    <w:tblStylePr w:type="band1Vert">
      <w:rPr>
        <w:sz w:val="22"/>
      </w:rPr>
      <w:pPr>
        <w:pBdr/>
        <w:spacing/>
        <w:ind/>
      </w:pPr>
      <w:tblPr>
        <w:tblBorders/>
      </w:tblPr>
      <w:tcPr>
        <w:tcBorders>
          <w:left w:val="single" w:color="000000" w:themeColor="accent5" w:sz="4" w:space="0"/>
          <w:right w:val="single" w:color="000000" w:themeColor="accent5"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92cddd" w:themeFill="accent5" w:themeFillTint="9A"/>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5">
    <w:name w:val="List Table 3 - Accent 6"/>
    <w:basedOn w:val="1078"/>
    <w:uiPriority w:val="99"/>
    <w:pPr>
      <w:pBdr/>
      <w:spacing w:after="0" w:line="240" w:lineRule="auto"/>
      <w:ind/>
    </w:pPr>
    <w:tblPr>
      <w:tblStyleRowBandSize w:val="1"/>
      <w:tblStyleColBandSize w:val="1"/>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sz w:val="22"/>
      </w:rPr>
      <w:pPr>
        <w:pBdr/>
        <w:spacing/>
        <w:ind/>
      </w:pPr>
      <w:tblPr>
        <w:tblBorders/>
      </w:tblPr>
      <w:tcPr>
        <w:tcBorders>
          <w:top w:val="single" w:color="000000" w:themeColor="accent6" w:sz="4" w:space="0"/>
          <w:bottom w:val="single" w:color="000000" w:themeColor="accent6" w:sz="4" w:space="0"/>
        </w:tcBorders>
      </w:tcPr>
    </w:tblStylePr>
    <w:tblStylePr w:type="band1Vert">
      <w:rPr>
        <w:sz w:val="22"/>
      </w:rPr>
      <w:pPr>
        <w:pBdr/>
        <w:spacing/>
        <w:ind/>
      </w:pPr>
      <w:tblPr>
        <w:tblBorders/>
      </w:tblPr>
      <w:tcPr>
        <w:tcBorders>
          <w:left w:val="single" w:color="000000" w:themeColor="accent6" w:sz="4" w:space="0"/>
          <w:right w:val="single" w:color="000000" w:themeColor="accent6"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fac091" w:themeFill="accent6" w:themeFillTint="98"/>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6">
    <w:name w:val="List Table 4 - Accent 1"/>
    <w:basedOn w:val="1078"/>
    <w:uiPriority w:val="99"/>
    <w:pPr>
      <w:pBdr/>
      <w:spacing w:after="0" w:line="240" w:lineRule="auto"/>
      <w:ind/>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sz w:val="22"/>
      </w:rPr>
      <w:pPr>
        <w:pBdr/>
        <w:spacing/>
        <w:ind/>
      </w:pPr>
      <w:tblPr>
        <w:tblBorders/>
      </w:tblPr>
      <w:tcPr>
        <w:shd w:val="clear" w:color="ffffff" w:fill="d3dfee" w:themeFill="accent1" w:themeFillTint="40"/>
        <w:tcBorders/>
      </w:tcPr>
    </w:tblStylePr>
    <w:tblStylePr w:type="band1Vert">
      <w:rPr>
        <w:sz w:val="22"/>
      </w:rPr>
      <w:pPr>
        <w:pBdr/>
        <w:spacing/>
        <w:ind/>
      </w:pPr>
      <w:tblPr>
        <w:tblBorders/>
      </w:tblPr>
      <w:tcPr>
        <w:shd w:val="clear" w:color="ffffff"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4f81bd" w:themeFill="accent1"/>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7">
    <w:name w:val="List Table 4 - Accent 2"/>
    <w:basedOn w:val="1078"/>
    <w:uiPriority w:val="99"/>
    <w:pPr>
      <w:pBdr/>
      <w:spacing w:after="0" w:line="240" w:lineRule="auto"/>
      <w:ind/>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sz w:val="22"/>
      </w:rPr>
      <w:pPr>
        <w:pBdr/>
        <w:spacing/>
        <w:ind/>
      </w:pPr>
      <w:tblPr>
        <w:tblBorders/>
      </w:tblPr>
      <w:tcPr>
        <w:shd w:val="clear" w:color="ffffff" w:fill="efd3d2" w:themeFill="accent2" w:themeFillTint="40"/>
        <w:tcBorders/>
      </w:tcPr>
    </w:tblStylePr>
    <w:tblStylePr w:type="band1Vert">
      <w:rPr>
        <w:sz w:val="22"/>
      </w:rPr>
      <w:pPr>
        <w:pBdr/>
        <w:spacing/>
        <w:ind/>
      </w:pPr>
      <w:tblPr>
        <w:tblBorders/>
      </w:tblPr>
      <w:tcPr>
        <w:shd w:val="clear" w:color="ffffff"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c0504d" w:themeFill="accent2"/>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8">
    <w:name w:val="List Table 4 - Accent 3"/>
    <w:basedOn w:val="1078"/>
    <w:uiPriority w:val="99"/>
    <w:pPr>
      <w:pBdr/>
      <w:spacing w:after="0" w:line="240" w:lineRule="auto"/>
      <w:ind/>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sz w:val="22"/>
      </w:rPr>
      <w:pPr>
        <w:pBdr/>
        <w:spacing/>
        <w:ind/>
      </w:pPr>
      <w:tblPr>
        <w:tblBorders/>
      </w:tblPr>
      <w:tcPr>
        <w:shd w:val="clear" w:color="ffffff" w:fill="e6eed5" w:themeFill="accent3" w:themeFillTint="40"/>
        <w:tcBorders/>
      </w:tcPr>
    </w:tblStylePr>
    <w:tblStylePr w:type="band1Vert">
      <w:rPr>
        <w:sz w:val="22"/>
      </w:rPr>
      <w:pPr>
        <w:pBdr/>
        <w:spacing/>
        <w:ind/>
      </w:pPr>
      <w:tblPr>
        <w:tblBorders/>
      </w:tblPr>
      <w:tcPr>
        <w:shd w:val="clear" w:color="ffffff"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9bbb59" w:themeFill="accent3"/>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9">
    <w:name w:val="List Table 4 - Accent 4"/>
    <w:basedOn w:val="1078"/>
    <w:uiPriority w:val="99"/>
    <w:pPr>
      <w:pBdr/>
      <w:spacing w:after="0" w:line="240" w:lineRule="auto"/>
      <w:ind/>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sz w:val="22"/>
      </w:rPr>
      <w:pPr>
        <w:pBdr/>
        <w:spacing/>
        <w:ind/>
      </w:pPr>
      <w:tblPr>
        <w:tblBorders/>
      </w:tblPr>
      <w:tcPr>
        <w:shd w:val="clear" w:color="ffffff" w:fill="dfd8e8" w:themeFill="accent4" w:themeFillTint="40"/>
        <w:tcBorders/>
      </w:tcPr>
    </w:tblStylePr>
    <w:tblStylePr w:type="band1Vert">
      <w:rPr>
        <w:sz w:val="22"/>
      </w:rPr>
      <w:pPr>
        <w:pBdr/>
        <w:spacing/>
        <w:ind/>
      </w:pPr>
      <w:tblPr>
        <w:tblBorders/>
      </w:tblPr>
      <w:tcPr>
        <w:shd w:val="clear" w:color="ffffff"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8064a2" w:themeFill="accent4"/>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0">
    <w:name w:val="List Table 4 - Accent 5"/>
    <w:basedOn w:val="1078"/>
    <w:uiPriority w:val="99"/>
    <w:pPr>
      <w:pBdr/>
      <w:spacing w:after="0" w:line="240" w:lineRule="auto"/>
      <w:ind/>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sz w:val="22"/>
      </w:rPr>
      <w:pPr>
        <w:pBdr/>
        <w:spacing/>
        <w:ind/>
      </w:pPr>
      <w:tblPr>
        <w:tblBorders/>
      </w:tblPr>
      <w:tcPr>
        <w:shd w:val="clear" w:color="ffffff" w:fill="d2eaf1" w:themeFill="accent5" w:themeFillTint="40"/>
        <w:tcBorders/>
      </w:tcPr>
    </w:tblStylePr>
    <w:tblStylePr w:type="band1Vert">
      <w:rPr>
        <w:sz w:val="22"/>
      </w:rPr>
      <w:pPr>
        <w:pBdr/>
        <w:spacing/>
        <w:ind/>
      </w:pPr>
      <w:tblPr>
        <w:tblBorders/>
      </w:tblPr>
      <w:tcPr>
        <w:shd w:val="clear" w:color="ffffff"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4bacc6" w:themeFill="accent5"/>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1">
    <w:name w:val="List Table 4 - Accent 6"/>
    <w:basedOn w:val="1078"/>
    <w:uiPriority w:val="99"/>
    <w:pPr>
      <w:pBdr/>
      <w:spacing w:after="0" w:line="240" w:lineRule="auto"/>
      <w:ind/>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sz w:val="22"/>
      </w:rPr>
      <w:pPr>
        <w:pBdr/>
        <w:spacing/>
        <w:ind/>
      </w:pPr>
      <w:tblPr>
        <w:tblBorders/>
      </w:tblPr>
      <w:tcPr>
        <w:shd w:val="clear" w:color="ffffff" w:fill="fde5d1" w:themeFill="accent6" w:themeFillTint="40"/>
        <w:tcBorders/>
      </w:tcPr>
    </w:tblStylePr>
    <w:tblStylePr w:type="band1Vert">
      <w:rPr>
        <w:sz w:val="22"/>
      </w:rPr>
      <w:pPr>
        <w:pBdr/>
        <w:spacing/>
        <w:ind/>
      </w:pPr>
      <w:tblPr>
        <w:tblBorders/>
      </w:tblPr>
      <w:tcPr>
        <w:shd w:val="clear" w:color="ffffff"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f79646" w:themeFill="accent6"/>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2">
    <w:name w:val="List Table 5 Dark - Accent 1"/>
    <w:basedOn w:val="1078"/>
    <w:uiPriority w:val="99"/>
    <w:pPr>
      <w:pBdr/>
      <w:spacing w:after="0" w:line="240" w:lineRule="auto"/>
      <w:ind/>
    </w:pPr>
    <w:tblPr>
      <w:tblStyleRowBandSize w:val="1"/>
      <w:tblStyleColBandSize w:val="1"/>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tblPr>
    <w:tcPr>
      <w:tcBorders/>
    </w:tcPr>
    <w:tblStylePr w:type="band1Horz">
      <w:pPr>
        <w:pBdr/>
        <w:spacing/>
        <w:ind/>
      </w:pPr>
      <w:tblPr>
        <w:tblBorders/>
      </w:tblPr>
      <w:tcPr>
        <w:shd w:val="clear" w:color="ffffff"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b/>
        <w:color w:val="ffffff" w:themeColor="light1"/>
        <w:sz w:val="22"/>
      </w:rPr>
      <w:pPr>
        <w:pBdr/>
        <w:spacing/>
        <w:ind/>
      </w:pPr>
      <w:tblPr>
        <w:tblBorders/>
      </w:tblPr>
      <w:tcPr>
        <w:shd w:val="clear" w:color="ffffff"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ffffff" w:themeColor="light1"/>
        <w:sz w:val="22"/>
      </w:rPr>
      <w:pPr>
        <w:pBdr/>
        <w:spacing/>
        <w:ind/>
      </w:pPr>
      <w:tblPr>
        <w:tblBorders/>
      </w:tblPr>
      <w:tcPr>
        <w:tcBorders/>
      </w:tcPr>
    </w:tblStylePr>
  </w:style>
  <w:style w:type="table" w:styleId="1073">
    <w:name w:val="List Table 5 Dark - Accent 2"/>
    <w:basedOn w:val="1078"/>
    <w:uiPriority w:val="99"/>
    <w:pPr>
      <w:pBdr/>
      <w:spacing w:after="0" w:line="240" w:lineRule="auto"/>
      <w:ind/>
    </w:pPr>
    <w:tblPr>
      <w:tblStyleRowBandSize w:val="1"/>
      <w:tblStyleColBandSize w:val="1"/>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tblPr>
    <w:tcPr>
      <w:tcBorders/>
    </w:tcPr>
    <w:tblStylePr w:type="band1Horz">
      <w:pPr>
        <w:pBdr/>
        <w:spacing/>
        <w:ind/>
      </w:pPr>
      <w:tblPr>
        <w:tblBorders/>
      </w:tblPr>
      <w:tcPr>
        <w:shd w:val="clear" w:color="ffffff"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b/>
        <w:color w:val="ffffff" w:themeColor="light1"/>
        <w:sz w:val="22"/>
      </w:rPr>
      <w:pPr>
        <w:pBdr/>
        <w:spacing/>
        <w:ind/>
      </w:pPr>
      <w:tblPr>
        <w:tblBorders/>
      </w:tblPr>
      <w:tcPr>
        <w:tcBorders>
          <w:left w:val="single" w:color="000000" w:themeColor="accent2" w:sz="32" w:space="0"/>
          <w:right w:val="single" w:color="000000" w:themeColor="light1" w:sz="4" w:space="0"/>
        </w:tcBorders>
      </w:tcPr>
    </w:tblStylePr>
    <w:tblStylePr w:type="firstRow">
      <w:rPr>
        <w:b/>
        <w:color w:val="ffffff" w:themeColor="light1"/>
        <w:sz w:val="22"/>
      </w:rPr>
      <w:pPr>
        <w:pBdr/>
        <w:spacing/>
        <w:ind/>
      </w:pPr>
      <w:tblPr>
        <w:tblBorders/>
      </w:tblPr>
      <w:tcPr>
        <w:shd w:val="clear" w:color="ffffff" w:fill="da9796" w:themeFill="accent2" w:themeFillTint="97"/>
        <w:tcBorders>
          <w:top w:val="single" w:color="000000" w:themeColor="accent2"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ffffff" w:themeColor="light1"/>
        <w:sz w:val="22"/>
      </w:rPr>
      <w:pPr>
        <w:pBdr/>
        <w:spacing/>
        <w:ind/>
      </w:pPr>
      <w:tblPr>
        <w:tblBorders/>
      </w:tblPr>
      <w:tcPr>
        <w:tcBorders/>
      </w:tcPr>
    </w:tblStylePr>
  </w:style>
  <w:style w:type="table" w:styleId="1074">
    <w:name w:val="List Table 5 Dark - Accent 3"/>
    <w:basedOn w:val="1078"/>
    <w:uiPriority w:val="99"/>
    <w:pPr>
      <w:pBdr/>
      <w:spacing w:after="0" w:line="240" w:lineRule="auto"/>
      <w:ind/>
    </w:pPr>
    <w:tblPr>
      <w:tblStyleRowBandSize w:val="1"/>
      <w:tblStyleColBandSize w:val="1"/>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tblPr>
    <w:tcPr>
      <w:tcBorders/>
    </w:tcPr>
    <w:tblStylePr w:type="band1Horz">
      <w:pPr>
        <w:pBdr/>
        <w:spacing/>
        <w:ind/>
      </w:pPr>
      <w:tblPr>
        <w:tblBorders/>
      </w:tblPr>
      <w:tcPr>
        <w:shd w:val="clear" w:color="ffffff"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b/>
        <w:color w:val="ffffff" w:themeColor="light1"/>
        <w:sz w:val="22"/>
      </w:rPr>
      <w:pPr>
        <w:pBdr/>
        <w:spacing/>
        <w:ind/>
      </w:pPr>
      <w:tblPr>
        <w:tblBorders/>
      </w:tblPr>
      <w:tcPr>
        <w:tcBorders>
          <w:left w:val="single" w:color="000000" w:themeColor="accent3" w:sz="32" w:space="0"/>
          <w:right w:val="single" w:color="000000" w:themeColor="light1" w:sz="4" w:space="0"/>
        </w:tcBorders>
      </w:tcPr>
    </w:tblStylePr>
    <w:tblStylePr w:type="firstRow">
      <w:rPr>
        <w:b/>
        <w:color w:val="ffffff" w:themeColor="light1"/>
        <w:sz w:val="22"/>
      </w:rPr>
      <w:pPr>
        <w:pBdr/>
        <w:spacing/>
        <w:ind/>
      </w:pPr>
      <w:tblPr>
        <w:tblBorders/>
      </w:tblPr>
      <w:tcPr>
        <w:shd w:val="clear" w:color="ffffff" w:fill="c3d69c" w:themeFill="accent3" w:themeFillTint="98"/>
        <w:tcBorders>
          <w:top w:val="single" w:color="000000" w:themeColor="accent3"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ffffff" w:themeColor="light1"/>
        <w:sz w:val="22"/>
      </w:rPr>
      <w:pPr>
        <w:pBdr/>
        <w:spacing/>
        <w:ind/>
      </w:pPr>
      <w:tblPr>
        <w:tblBorders/>
      </w:tblPr>
      <w:tcPr>
        <w:tcBorders/>
      </w:tcPr>
    </w:tblStylePr>
  </w:style>
  <w:style w:type="table" w:styleId="1075">
    <w:name w:val="List Table 5 Dark - Accent 4"/>
    <w:basedOn w:val="1078"/>
    <w:uiPriority w:val="99"/>
    <w:pPr>
      <w:pBdr/>
      <w:spacing w:after="0" w:line="240" w:lineRule="auto"/>
      <w:ind/>
    </w:pPr>
    <w:tblPr>
      <w:tblStyleRowBandSize w:val="1"/>
      <w:tblStyleColBandSize w:val="1"/>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tblPr>
    <w:tcPr>
      <w:tcBorders/>
    </w:tcPr>
    <w:tblStylePr w:type="band1Horz">
      <w:pPr>
        <w:pBdr/>
        <w:spacing/>
        <w:ind/>
      </w:pPr>
      <w:tblPr>
        <w:tblBorders/>
      </w:tblPr>
      <w:tcPr>
        <w:shd w:val="clear" w:color="ffffff"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b/>
        <w:color w:val="ffffff" w:themeColor="light1"/>
        <w:sz w:val="22"/>
      </w:rPr>
      <w:pPr>
        <w:pBdr/>
        <w:spacing/>
        <w:ind/>
      </w:pPr>
      <w:tblPr>
        <w:tblBorders/>
      </w:tblPr>
      <w:tcPr>
        <w:tcBorders>
          <w:left w:val="single" w:color="000000" w:themeColor="accent4" w:sz="32" w:space="0"/>
          <w:right w:val="single" w:color="000000" w:themeColor="light1" w:sz="4" w:space="0"/>
        </w:tcBorders>
      </w:tcPr>
    </w:tblStylePr>
    <w:tblStylePr w:type="firstRow">
      <w:rPr>
        <w:b/>
        <w:color w:val="ffffff" w:themeColor="light1"/>
        <w:sz w:val="22"/>
      </w:rPr>
      <w:pPr>
        <w:pBdr/>
        <w:spacing/>
        <w:ind/>
      </w:pPr>
      <w:tblPr>
        <w:tblBorders/>
      </w:tblPr>
      <w:tcPr>
        <w:shd w:val="clear" w:color="ffffff" w:fill="b2a1c7" w:themeFill="accent4" w:themeFillTint="9A"/>
        <w:tcBorders>
          <w:top w:val="single" w:color="000000" w:themeColor="accent4"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ffffff" w:themeColor="light1"/>
        <w:sz w:val="22"/>
      </w:rPr>
      <w:pPr>
        <w:pBdr/>
        <w:spacing/>
        <w:ind/>
      </w:pPr>
      <w:tblPr>
        <w:tblBorders/>
      </w:tblPr>
      <w:tcPr>
        <w:tcBorders/>
      </w:tcPr>
    </w:tblStylePr>
  </w:style>
  <w:style w:type="table" w:styleId="1076">
    <w:name w:val="List Table 5 Dark - Accent 5"/>
    <w:basedOn w:val="1078"/>
    <w:uiPriority w:val="99"/>
    <w:pPr>
      <w:pBdr/>
      <w:spacing w:after="0" w:line="240" w:lineRule="auto"/>
      <w:ind/>
    </w:pPr>
    <w:tblPr>
      <w:tblStyleRowBandSize w:val="1"/>
      <w:tblStyleColBandSize w:val="1"/>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tblPr>
    <w:tcPr>
      <w:tcBorders/>
    </w:tcPr>
    <w:tblStylePr w:type="band1Horz">
      <w:pPr>
        <w:pBdr/>
        <w:spacing/>
        <w:ind/>
      </w:pPr>
      <w:tblPr>
        <w:tblBorders/>
      </w:tblPr>
      <w:tcPr>
        <w:shd w:val="clear" w:color="ffffff"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b/>
        <w:color w:val="ffffff" w:themeColor="light1"/>
        <w:sz w:val="22"/>
      </w:rPr>
      <w:pPr>
        <w:pBdr/>
        <w:spacing/>
        <w:ind/>
      </w:pPr>
      <w:tblPr>
        <w:tblBorders/>
      </w:tblPr>
      <w:tcPr>
        <w:tcBorders>
          <w:left w:val="single" w:color="000000" w:themeColor="accent5" w:sz="32" w:space="0"/>
          <w:right w:val="single" w:color="000000" w:themeColor="light1" w:sz="4" w:space="0"/>
        </w:tcBorders>
      </w:tcPr>
    </w:tblStylePr>
    <w:tblStylePr w:type="firstRow">
      <w:rPr>
        <w:b/>
        <w:color w:val="ffffff" w:themeColor="light1"/>
        <w:sz w:val="22"/>
      </w:rPr>
      <w:pPr>
        <w:pBdr/>
        <w:spacing/>
        <w:ind/>
      </w:pPr>
      <w:tblPr>
        <w:tblBorders/>
      </w:tblPr>
      <w:tcPr>
        <w:shd w:val="clear" w:color="ffffff" w:fill="92cddd" w:themeFill="accent5" w:themeFillTint="9A"/>
        <w:tcBorders>
          <w:top w:val="single" w:color="000000" w:themeColor="accent5"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ffffff" w:themeColor="light1"/>
        <w:sz w:val="22"/>
      </w:rPr>
      <w:pPr>
        <w:pBdr/>
        <w:spacing/>
        <w:ind/>
      </w:pPr>
      <w:tblPr>
        <w:tblBorders/>
      </w:tblPr>
      <w:tcPr>
        <w:tcBorders/>
      </w:tcPr>
    </w:tblStylePr>
  </w:style>
  <w:style w:type="table" w:styleId="1077">
    <w:name w:val="List Table 5 Dark - Accent 6"/>
    <w:basedOn w:val="1078"/>
    <w:uiPriority w:val="99"/>
    <w:pPr>
      <w:pBdr/>
      <w:spacing w:after="0" w:line="240" w:lineRule="auto"/>
      <w:ind/>
    </w:pPr>
    <w:tblPr>
      <w:tblStyleRowBandSize w:val="1"/>
      <w:tblStyleColBandSize w:val="1"/>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tblPr>
    <w:tcPr>
      <w:tcBorders/>
    </w:tcPr>
    <w:tblStylePr w:type="band1Horz">
      <w:pPr>
        <w:pBdr/>
        <w:spacing/>
        <w:ind/>
      </w:pPr>
      <w:tblPr>
        <w:tblBorders/>
      </w:tblPr>
      <w:tcPr>
        <w:shd w:val="clear" w:color="ffffff"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b/>
        <w:color w:val="ffffff" w:themeColor="light1"/>
        <w:sz w:val="22"/>
      </w:rPr>
      <w:pPr>
        <w:pBdr/>
        <w:spacing/>
        <w:ind/>
      </w:pPr>
      <w:tblPr>
        <w:tblBorders/>
      </w:tblPr>
      <w:tcPr>
        <w:tcBorders>
          <w:left w:val="single" w:color="000000" w:themeColor="accent6" w:sz="32" w:space="0"/>
          <w:right w:val="single" w:color="000000" w:themeColor="light1" w:sz="4" w:space="0"/>
        </w:tcBorders>
      </w:tcPr>
    </w:tblStylePr>
    <w:tblStylePr w:type="firstRow">
      <w:rPr>
        <w:b/>
        <w:color w:val="ffffff" w:themeColor="light1"/>
        <w:sz w:val="22"/>
      </w:rPr>
      <w:pPr>
        <w:pBdr/>
        <w:spacing/>
        <w:ind/>
      </w:pPr>
      <w:tblPr>
        <w:tblBorders/>
      </w:tblPr>
      <w:tcPr>
        <w:shd w:val="clear" w:color="ffffff" w:fill="fac091" w:themeFill="accent6" w:themeFillTint="98"/>
        <w:tcBorders>
          <w:top w:val="single" w:color="000000" w:themeColor="accent6"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ffffff" w:themeColor="light1"/>
        <w:sz w:val="22"/>
      </w:rPr>
      <w:pPr>
        <w:pBdr/>
        <w:spacing/>
        <w:ind/>
      </w:pPr>
      <w:tblPr>
        <w:tblBorders/>
      </w:tblPr>
      <w:tcPr>
        <w:tcBorders/>
      </w:tcPr>
    </w:tblStylePr>
  </w:style>
  <w:style w:type="table" w:styleId="1078" w:default="1">
    <w:name w:val="Normal Table"/>
    <w:uiPriority w:val="99"/>
    <w:semiHidden/>
    <w:unhideWhenUsed/>
    <w:qFormat/>
    <w:pPr>
      <w:pBdr/>
      <w:spacing/>
      <w:ind/>
    </w:pPr>
    <w:tblPr>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9">
    <w:name w:val="Table Grid"/>
    <w:basedOn w:val="1078"/>
    <w:uiPriority w:val="59"/>
    <w:pPr>
      <w:pBdr/>
      <w:spacing/>
      <w:ind/>
    </w:pPr>
    <w:tblPr>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0" w:customStyle="1">
    <w:name w:val="Grid Table Light"/>
    <w:basedOn w:val="1078"/>
    <w:uiPriority w:val="59"/>
    <w:pPr>
      <w:pBdr/>
      <w:spacing/>
      <w:ind/>
    </w:pPr>
    <w:tblPr>
      <w:tblCellMar>
        <w:left w:w="108" w:type="dxa"/>
        <w:top w:w="0" w:type="dxa"/>
        <w:right w:w="108" w:type="dxa"/>
        <w:bottom w:w="0" w:type="dxa"/>
      </w:tblCellMa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1" w:customStyle="1">
    <w:name w:val="Plain Table 1"/>
    <w:basedOn w:val="1078"/>
    <w:uiPriority w:val="59"/>
    <w:pPr>
      <w:pBdr/>
      <w:spacing/>
      <w:ind/>
    </w:pPr>
    <w:tblPr>
      <w:tblCellMar>
        <w:left w:w="108" w:type="dxa"/>
        <w:top w:w="0" w:type="dxa"/>
        <w:right w:w="108" w:type="dxa"/>
        <w:bottom w:w="0" w:type="dxa"/>
      </w:tblCellMa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fill="f2f2f2" w:themeFill="text1" w:themeFillTint="00"/>
        <w:tcBorders/>
      </w:tcPr>
    </w:tblStylePr>
    <w:tblStylePr w:type="band1Vert">
      <w:pPr>
        <w:pBdr/>
        <w:spacing/>
        <w:ind/>
      </w:pPr>
      <w:tblPr>
        <w:tblBorders/>
      </w:tblPr>
      <w:tcPr>
        <w:shd w:val="clear" w:color="f2f2f2" w:fill="f2f2f2" w:themeFill="tex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2" w:customStyle="1">
    <w:name w:val="Plain Table 2"/>
    <w:basedOn w:val="1078"/>
    <w:uiPriority w:val="59"/>
    <w:pPr>
      <w:pBdr/>
      <w:spacing/>
      <w:ind/>
    </w:pPr>
    <w:tblPr>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000000" w:themeColor="text1" w:sz="4" w:space="0"/>
          <w:bottom w:val="single" w:color="000000" w:themeColor="text1"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3" w:customStyle="1">
    <w:name w:val="Plain Table 3"/>
    <w:basedOn w:val="1078"/>
    <w:uiPriority w:val="99"/>
    <w:pPr>
      <w:pBdr/>
      <w:spacing/>
      <w:ind/>
    </w:pPr>
    <w:tblPr>
      <w:tblStyleRowBandSize w:val="1"/>
      <w:tblStyleColBandSize w:val="1"/>
      <w:tblCellMar>
        <w:left w:w="108" w:type="dxa"/>
        <w:top w:w="0" w:type="dxa"/>
        <w:right w:w="108" w:type="dxa"/>
        <w:bottom w:w="0" w:type="dxa"/>
      </w:tblCellMar>
      <w:tblBorders/>
    </w:tblPr>
    <w:tcPr>
      <w:tcBorders/>
    </w:tcPr>
    <w:tblStylePr w:type="band1Horz">
      <w:rPr>
        <w:sz w:val="22"/>
      </w:rPr>
      <w:pPr>
        <w:pBdr/>
        <w:spacing/>
        <w:ind/>
      </w:pPr>
      <w:tblPr>
        <w:tblBorders/>
      </w:tblPr>
      <w:tcPr>
        <w:shd w:val="clear" w:color="f2f2f2" w:fill="f2f2f2" w:themeFill="text1" w:themeFillTint="00"/>
        <w:tcBorders/>
      </w:tcPr>
    </w:tblStylePr>
    <w:tblStylePr w:type="band1Vert">
      <w:rPr>
        <w:sz w:val="22"/>
      </w:rPr>
      <w:pPr>
        <w:pBdr/>
        <w:spacing/>
        <w:ind/>
      </w:pPr>
      <w:tblPr>
        <w:tblBorders/>
      </w:tblPr>
      <w:tcPr>
        <w:shd w:val="clear" w:color="f2f2f2" w:fill="f2f2f2" w:themeFill="tex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rPr>
      <w:pPr>
        <w:pBdr/>
        <w:spacing/>
        <w:ind/>
      </w:pPr>
      <w:tblPr>
        <w:tblBorders/>
      </w:tblPr>
      <w:tcPr>
        <w:tcBorders/>
      </w:tcPr>
    </w:tblStylePr>
    <w:tblStylePr w:type="lastRow">
      <w:rPr>
        <w:b/>
        <w:caps/>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4" w:customStyle="1">
    <w:name w:val="Plain Table 4"/>
    <w:basedOn w:val="1078"/>
    <w:uiPriority w:val="99"/>
    <w:pPr>
      <w:pBdr/>
      <w:spacing/>
      <w:ind/>
    </w:pPr>
    <w:tblPr>
      <w:tblStyleRowBandSize w:val="1"/>
      <w:tblStyleColBandSize w:val="1"/>
      <w:tblCellMar>
        <w:left w:w="108" w:type="dxa"/>
        <w:top w:w="0" w:type="dxa"/>
        <w:right w:w="108" w:type="dxa"/>
        <w:bottom w:w="0" w:type="dxa"/>
      </w:tblCellMar>
      <w:tblBorders/>
    </w:tblPr>
    <w:tcPr>
      <w:tcBorders/>
    </w:tcPr>
    <w:tblStylePr w:type="band1Horz">
      <w:rPr>
        <w:sz w:val="22"/>
      </w:rPr>
      <w:pPr>
        <w:pBdr/>
        <w:spacing/>
        <w:ind/>
      </w:pPr>
      <w:tblPr>
        <w:tblBorders/>
      </w:tblPr>
      <w:tcPr>
        <w:shd w:val="clear" w:color="f2f2f2" w:fill="f2f2f2" w:themeFill="text1" w:themeFillTint="00"/>
        <w:tcBorders/>
      </w:tcPr>
    </w:tblStylePr>
    <w:tblStylePr w:type="band1Vert">
      <w:rPr>
        <w:sz w:val="22"/>
      </w:rPr>
      <w:pPr>
        <w:pBdr/>
        <w:spacing/>
        <w:ind/>
      </w:pPr>
      <w:tblPr>
        <w:tblBorders/>
      </w:tblPr>
      <w:tcPr>
        <w:shd w:val="clear" w:color="f2f2f2" w:fill="f2f2f2" w:themeFill="tex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5" w:customStyle="1">
    <w:name w:val="Plain Table 5"/>
    <w:basedOn w:val="1078"/>
    <w:uiPriority w:val="99"/>
    <w:pPr>
      <w:pBdr/>
      <w:spacing/>
      <w:ind/>
    </w:pPr>
    <w:tblPr>
      <w:tblStyleRowBandSize w:val="1"/>
      <w:tblStyleColBandSize w:val="1"/>
      <w:tblCellMar>
        <w:left w:w="108" w:type="dxa"/>
        <w:top w:w="0" w:type="dxa"/>
        <w:right w:w="108" w:type="dxa"/>
        <w:bottom w:w="0" w:type="dxa"/>
      </w:tblCellMar>
      <w:tblBorders/>
    </w:tblPr>
    <w:tcPr>
      <w:tcBorders/>
    </w:tcPr>
    <w:tblStylePr w:type="band1Horz">
      <w:rPr>
        <w:sz w:val="22"/>
      </w:rPr>
      <w:pPr>
        <w:pBdr/>
        <w:spacing/>
        <w:ind/>
      </w:pPr>
      <w:tblPr>
        <w:tblBorders/>
      </w:tblPr>
      <w:tcPr>
        <w:shd w:val="clear" w:color="f2f2f2" w:fill="f2f2f2" w:themeFill="text1" w:themeFillTint="00"/>
        <w:tcBorders/>
      </w:tcPr>
    </w:tblStylePr>
    <w:tblStylePr w:type="band1Vert">
      <w:rPr>
        <w:sz w:val="22"/>
      </w:rPr>
      <w:pPr>
        <w:pBdr/>
        <w:spacing/>
        <w:ind/>
      </w:pPr>
      <w:tblPr>
        <w:tblBorders/>
      </w:tblPr>
      <w:tcPr>
        <w:shd w:val="clear" w:color="f2f2f2" w:fill="f2f2f2" w:themeFill="tex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fill="auto"/>
        <w:tcBorders>
          <w:right w:val="single" w:color="404040" w:sz="4" w:space="0"/>
        </w:tcBorders>
      </w:tcPr>
    </w:tblStylePr>
    <w:tblStylePr w:type="firstRow">
      <w:rPr>
        <w:i/>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rPr>
      <w:pPr>
        <w:pBdr/>
        <w:spacing/>
        <w:ind/>
      </w:pPr>
      <w:tblPr>
        <w:tblBorders/>
      </w:tblPr>
      <w:tcPr>
        <w:shd w:val="clear" w:color="ffffff" w:fill="auto"/>
        <w:tcBorders>
          <w:left w:val="single" w:color="404040" w:sz="4" w:space="0"/>
        </w:tcBorders>
      </w:tcPr>
    </w:tblStylePr>
    <w:tblStylePr w:type="lastRow">
      <w:rPr>
        <w:i/>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6" w:customStyle="1">
    <w:name w:val="Grid Table 1 Light"/>
    <w:basedOn w:val="1078"/>
    <w:uiPriority w:val="99"/>
    <w:pPr>
      <w:pBdr/>
      <w:spacing/>
      <w:ind/>
    </w:pPr>
    <w:tblPr>
      <w:tblStyleRowBandSize w:val="1"/>
      <w:tblStyleColBandSize w:val="1"/>
      <w:tblCellMar>
        <w:left w:w="108" w:type="dxa"/>
        <w:top w:w="0" w:type="dxa"/>
        <w:right w:w="108" w:type="dxa"/>
        <w:bottom w:w="0" w:type="dxa"/>
      </w:tblCellMar>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sz w:val="22"/>
      </w:rPr>
      <w:pPr>
        <w:pBdr/>
        <w:spacing/>
        <w:ind/>
      </w:pPr>
      <w:tblPr>
        <w:tblBorders/>
      </w:tblPr>
      <w:tcPr>
        <w:tcBorders>
          <w:top w:val="single" w:color="989898" w:themeColor="text1" w:sz="4" w:space="0"/>
          <w:left w:val="single" w:color="989898" w:themeColor="text1" w:sz="4" w:space="0"/>
          <w:bottom w:val="single" w:color="989898" w:themeColor="text1" w:sz="4" w:space="0"/>
          <w:right w:val="single" w:color="989898" w:themeColor="text1"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6a6a6a" w:themeColor="text1"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7" w:customStyle="1">
    <w:name w:val="Grid Table 1 Light Accent 1"/>
    <w:basedOn w:val="1078"/>
    <w:uiPriority w:val="99"/>
    <w:pPr>
      <w:pBdr/>
      <w:spacing/>
      <w:ind/>
    </w:pPr>
    <w:tblPr>
      <w:tblStyleRowBandSize w:val="1"/>
      <w:tblStyleColBandSize w:val="1"/>
      <w:tblCellMar>
        <w:left w:w="108" w:type="dxa"/>
        <w:top w:w="0" w:type="dxa"/>
        <w:right w:w="108" w:type="dxa"/>
        <w:bottom w:w="0" w:type="dxa"/>
      </w:tblCellMar>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sz w:val="22"/>
      </w:rPr>
      <w:pPr>
        <w:pBdr/>
        <w:spacing/>
        <w:ind/>
      </w:pPr>
      <w:tblPr>
        <w:tblBorders/>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97b4d8" w:themeColor="accent1"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8" w:customStyle="1">
    <w:name w:val="Grid Table 1 Light - Accent 2"/>
    <w:basedOn w:val="1078"/>
    <w:uiPriority w:val="99"/>
    <w:pPr>
      <w:pBdr/>
      <w:spacing/>
      <w:ind/>
    </w:pPr>
    <w:tblPr>
      <w:tblStyleRowBandSize w:val="1"/>
      <w:tblStyleColBandSize w:val="1"/>
      <w:tblCellMar>
        <w:left w:w="108" w:type="dxa"/>
        <w:top w:w="0" w:type="dxa"/>
        <w:right w:w="108" w:type="dxa"/>
        <w:bottom w:w="0" w:type="dxa"/>
      </w:tblCellMar>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sz w:val="22"/>
      </w:rPr>
      <w:pPr>
        <w:pBdr/>
        <w:spacing/>
        <w:ind/>
      </w:pPr>
      <w:tblPr>
        <w:tblBorders/>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da9896" w:themeColor="accent2"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9" w:customStyle="1">
    <w:name w:val="Grid Table 1 Light Accent 3"/>
    <w:basedOn w:val="1078"/>
    <w:uiPriority w:val="99"/>
    <w:pPr>
      <w:pBdr/>
      <w:spacing/>
      <w:ind/>
    </w:pPr>
    <w:tblPr>
      <w:tblStyleRowBandSize w:val="1"/>
      <w:tblStyleColBandSize w:val="1"/>
      <w:tblCellMar>
        <w:left w:w="108" w:type="dxa"/>
        <w:top w:w="0" w:type="dxa"/>
        <w:right w:w="108" w:type="dxa"/>
        <w:bottom w:w="0" w:type="dxa"/>
      </w:tblCellMa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sz w:val="22"/>
      </w:rPr>
      <w:pPr>
        <w:pBdr/>
        <w:spacing/>
        <w:ind/>
      </w:pPr>
      <w:tblPr>
        <w:tblBorders/>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c4d79d" w:themeColor="accent3"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0" w:customStyle="1">
    <w:name w:val="Grid Table 1 Light Accent 4"/>
    <w:basedOn w:val="1078"/>
    <w:uiPriority w:val="99"/>
    <w:pPr>
      <w:pBdr/>
      <w:spacing/>
      <w:ind/>
    </w:pPr>
    <w:tblPr>
      <w:tblStyleRowBandSize w:val="1"/>
      <w:tblStyleColBandSize w:val="1"/>
      <w:tblCellMar>
        <w:left w:w="108" w:type="dxa"/>
        <w:top w:w="0" w:type="dxa"/>
        <w:right w:w="108" w:type="dxa"/>
        <w:bottom w:w="0" w:type="dxa"/>
      </w:tblCellMa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sz w:val="22"/>
      </w:rPr>
      <w:pPr>
        <w:pBdr/>
        <w:spacing/>
        <w:ind/>
      </w:pPr>
      <w:tblPr>
        <w:tblBorders/>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b4a4c8" w:themeColor="accent4"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1" w:customStyle="1">
    <w:name w:val="Grid Table 1 Light Accent 5"/>
    <w:basedOn w:val="1078"/>
    <w:uiPriority w:val="99"/>
    <w:pPr>
      <w:pBdr/>
      <w:spacing/>
      <w:ind/>
    </w:pPr>
    <w:tblPr>
      <w:tblStyleRowBandSize w:val="1"/>
      <w:tblStyleColBandSize w:val="1"/>
      <w:tblCellMar>
        <w:left w:w="108" w:type="dxa"/>
        <w:top w:w="0" w:type="dxa"/>
        <w:right w:w="108" w:type="dxa"/>
        <w:bottom w:w="0" w:type="dxa"/>
      </w:tblCellMar>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sz w:val="22"/>
      </w:rPr>
      <w:pPr>
        <w:pBdr/>
        <w:spacing/>
        <w:ind/>
      </w:pPr>
      <w:tblPr>
        <w:tblBorders/>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95cedd" w:themeColor="accent5"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2" w:customStyle="1">
    <w:name w:val="Grid Table 1 Light Accent 6"/>
    <w:basedOn w:val="1078"/>
    <w:uiPriority w:val="99"/>
    <w:pPr>
      <w:pBdr/>
      <w:spacing/>
      <w:ind/>
    </w:pPr>
    <w:tblPr>
      <w:tblStyleRowBandSize w:val="1"/>
      <w:tblStyleColBandSize w:val="1"/>
      <w:tblCellMar>
        <w:left w:w="108" w:type="dxa"/>
        <w:top w:w="0" w:type="dxa"/>
        <w:right w:w="108" w:type="dxa"/>
        <w:bottom w:w="0" w:type="dxa"/>
      </w:tblCellMa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sz w:val="22"/>
      </w:rPr>
      <w:pPr>
        <w:pBdr/>
        <w:spacing/>
        <w:ind/>
      </w:pPr>
      <w:tblPr>
        <w:tblBorders/>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fac192" w:themeColor="accent6"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3" w:customStyle="1">
    <w:name w:val="Grid Table 2"/>
    <w:basedOn w:val="1078"/>
    <w:uiPriority w:val="99"/>
    <w:pPr>
      <w:pBdr/>
      <w:spacing/>
      <w:ind/>
    </w:pPr>
    <w:tblPr>
      <w:tblStyleRowBandSize w:val="1"/>
      <w:tblStyleColBandSize w:val="1"/>
      <w:tblCellMar>
        <w:left w:w="108" w:type="dxa"/>
        <w:top w:w="0" w:type="dxa"/>
        <w:right w:w="108" w:type="dxa"/>
        <w:bottom w:w="0" w:type="dxa"/>
      </w:tblCellMar>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sz w:val="22"/>
      </w:rPr>
      <w:pPr>
        <w:pBdr/>
        <w:spacing/>
        <w:ind/>
      </w:pPr>
      <w:tblPr>
        <w:tblBorders/>
      </w:tblPr>
      <w:tcPr>
        <w:shd w:val="clear" w:color="cbcbcb" w:fill="cbcbcb" w:themeFill="text1" w:themeFillTint="34"/>
        <w:tcBorders/>
      </w:tcPr>
    </w:tblStylePr>
    <w:tblStylePr w:type="band1Vert">
      <w:rPr>
        <w:sz w:val="22"/>
      </w:rPr>
      <w:pPr>
        <w:pBdr/>
        <w:spacing/>
        <w:ind/>
      </w:pPr>
      <w:tblPr>
        <w:tblBorders/>
      </w:tblPr>
      <w:tcPr>
        <w:shd w:val="clear" w:color="cbcbcb"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fill="auto"/>
        <w:tcBorders>
          <w:top w:val="none" w:color="000000" w:sz="4" w:space="0"/>
          <w:left w:val="none" w:color="000000" w:sz="4" w:space="0"/>
          <w:bottom w:val="single" w:color="6a6a6a" w:themeColor="text1"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fill="auto"/>
        <w:tcBorders>
          <w:top w:val="single" w:color="6a6a6a"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4" w:customStyle="1">
    <w:name w:val="Grid Table 2 Accent 1"/>
    <w:basedOn w:val="1078"/>
    <w:uiPriority w:val="99"/>
    <w:pPr>
      <w:pBdr/>
      <w:spacing/>
      <w:ind/>
    </w:pPr>
    <w:tblPr>
      <w:tblStyleRowBandSize w:val="1"/>
      <w:tblStyleColBandSize w:val="1"/>
      <w:tblCellMar>
        <w:left w:w="108" w:type="dxa"/>
        <w:top w:w="0" w:type="dxa"/>
        <w:right w:w="108" w:type="dxa"/>
        <w:bottom w:w="0" w:type="dxa"/>
      </w:tblCellMar>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sz w:val="22"/>
      </w:rPr>
      <w:pPr>
        <w:pBdr/>
        <w:spacing/>
        <w:ind/>
      </w:pPr>
      <w:tblPr>
        <w:tblBorders/>
      </w:tblPr>
      <w:tcPr>
        <w:shd w:val="clear" w:color="dae5f1" w:fill="dae5f1" w:themeFill="accent1" w:themeFillTint="34"/>
        <w:tcBorders/>
      </w:tcPr>
    </w:tblStylePr>
    <w:tblStylePr w:type="band1Vert">
      <w:rPr>
        <w:sz w:val="22"/>
      </w:rPr>
      <w:pPr>
        <w:pBdr/>
        <w:spacing/>
        <w:ind/>
      </w:pPr>
      <w:tblPr>
        <w:tblBorders/>
      </w:tblPr>
      <w:tcPr>
        <w:shd w:val="clear" w:color="dae5f1"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fill="auto"/>
        <w:tcBorders>
          <w:top w:val="none" w:color="000000" w:sz="4" w:space="0"/>
          <w:left w:val="none" w:color="000000" w:sz="4" w:space="0"/>
          <w:bottom w:val="single" w:color="5d8ac2" w:themeColor="accent1"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fill="auto"/>
        <w:tcBorders>
          <w:top w:val="single" w:color="5d8ac2"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5" w:customStyle="1">
    <w:name w:val="Grid Table 2 Accent 2"/>
    <w:basedOn w:val="1078"/>
    <w:uiPriority w:val="99"/>
    <w:pPr>
      <w:pBdr/>
      <w:spacing/>
      <w:ind/>
    </w:pPr>
    <w:tblPr>
      <w:tblStyleRowBandSize w:val="1"/>
      <w:tblStyleColBandSize w:val="1"/>
      <w:tblCellMar>
        <w:left w:w="108" w:type="dxa"/>
        <w:top w:w="0" w:type="dxa"/>
        <w:right w:w="108" w:type="dxa"/>
        <w:bottom w:w="0" w:type="dxa"/>
      </w:tblCellMar>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sz w:val="22"/>
      </w:rPr>
      <w:pPr>
        <w:pBdr/>
        <w:spacing/>
        <w:ind/>
      </w:pPr>
      <w:tblPr>
        <w:tblBorders/>
      </w:tblPr>
      <w:tcPr>
        <w:shd w:val="clear" w:color="f2dcdc" w:fill="f2dcdc" w:themeFill="accent2" w:themeFillTint="32"/>
        <w:tcBorders/>
      </w:tcPr>
    </w:tblStylePr>
    <w:tblStylePr w:type="band1Vert">
      <w:rPr>
        <w:sz w:val="22"/>
      </w:rPr>
      <w:pPr>
        <w:pBdr/>
        <w:spacing/>
        <w:ind/>
      </w:pPr>
      <w:tblPr>
        <w:tblBorders/>
      </w:tblPr>
      <w:tcPr>
        <w:shd w:val="clear" w:color="f2dcdc"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fill="auto"/>
        <w:tcBorders>
          <w:top w:val="none" w:color="000000" w:sz="4" w:space="0"/>
          <w:left w:val="none" w:color="000000" w:sz="4" w:space="0"/>
          <w:bottom w:val="single" w:color="d99695" w:themeColor="accent2"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fill="auto"/>
        <w:tcBorders>
          <w:top w:val="single" w:color="d99695"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6" w:customStyle="1">
    <w:name w:val="Grid Table 2 Accent 3"/>
    <w:basedOn w:val="1078"/>
    <w:uiPriority w:val="99"/>
    <w:pPr>
      <w:pBdr/>
      <w:spacing/>
      <w:ind/>
    </w:pPr>
    <w:tblPr>
      <w:tblStyleRowBandSize w:val="1"/>
      <w:tblStyleColBandSize w:val="1"/>
      <w:tblCellMar>
        <w:left w:w="108" w:type="dxa"/>
        <w:top w:w="0" w:type="dxa"/>
        <w:right w:w="108" w:type="dxa"/>
        <w:bottom w:w="0" w:type="dxa"/>
      </w:tblCellMar>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sz w:val="22"/>
      </w:rPr>
      <w:pPr>
        <w:pBdr/>
        <w:spacing/>
        <w:ind/>
      </w:pPr>
      <w:tblPr>
        <w:tblBorders/>
      </w:tblPr>
      <w:tcPr>
        <w:shd w:val="clear" w:color="eaf1dc" w:fill="eaf1dc" w:themeFill="accent3" w:themeFillTint="34"/>
        <w:tcBorders/>
      </w:tcPr>
    </w:tblStylePr>
    <w:tblStylePr w:type="band1Vert">
      <w:rPr>
        <w:sz w:val="22"/>
      </w:rPr>
      <w:pPr>
        <w:pBdr/>
        <w:spacing/>
        <w:ind/>
      </w:pPr>
      <w:tblPr>
        <w:tblBorders/>
      </w:tblPr>
      <w:tcPr>
        <w:shd w:val="clear" w:color="eaf1dc"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fill="auto"/>
        <w:tcBorders>
          <w:top w:val="none" w:color="000000" w:sz="4" w:space="0"/>
          <w:left w:val="none" w:color="000000" w:sz="4" w:space="0"/>
          <w:bottom w:val="single" w:color="9abb59" w:themeColor="accent3"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fill="auto"/>
        <w:tcBorders>
          <w:top w:val="single" w:color="9abb59"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7" w:customStyle="1">
    <w:name w:val="Grid Table 2 Accent 4"/>
    <w:basedOn w:val="1078"/>
    <w:uiPriority w:val="99"/>
    <w:pPr>
      <w:pBdr/>
      <w:spacing/>
      <w:ind/>
    </w:pPr>
    <w:tblPr>
      <w:tblStyleRowBandSize w:val="1"/>
      <w:tblStyleColBandSize w:val="1"/>
      <w:tblCellMar>
        <w:left w:w="108" w:type="dxa"/>
        <w:top w:w="0" w:type="dxa"/>
        <w:right w:w="108" w:type="dxa"/>
        <w:bottom w:w="0" w:type="dxa"/>
      </w:tblCellMar>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sz w:val="22"/>
      </w:rPr>
      <w:pPr>
        <w:pBdr/>
        <w:spacing/>
        <w:ind/>
      </w:pPr>
      <w:tblPr>
        <w:tblBorders/>
      </w:tblPr>
      <w:tcPr>
        <w:shd w:val="clear" w:color="e5dfec" w:fill="e5dfec" w:themeFill="accent4" w:themeFillTint="34"/>
        <w:tcBorders/>
      </w:tcPr>
    </w:tblStylePr>
    <w:tblStylePr w:type="band1Vert">
      <w:rPr>
        <w:sz w:val="22"/>
      </w:rPr>
      <w:pPr>
        <w:pBdr/>
        <w:spacing/>
        <w:ind/>
      </w:pPr>
      <w:tblPr>
        <w:tblBorders/>
      </w:tblPr>
      <w:tcPr>
        <w:shd w:val="clear" w:color="e5dfec"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fill="auto"/>
        <w:tcBorders>
          <w:top w:val="none" w:color="000000" w:sz="4" w:space="0"/>
          <w:left w:val="none" w:color="000000" w:sz="4" w:space="0"/>
          <w:bottom w:val="single" w:color="b2a1c6" w:themeColor="accent4"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fill="auto"/>
        <w:tcBorders>
          <w:top w:val="single" w:color="b2a1c6"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8" w:customStyle="1">
    <w:name w:val="Grid Table 2 Accent 5"/>
    <w:basedOn w:val="1078"/>
    <w:uiPriority w:val="99"/>
    <w:pPr>
      <w:pBdr/>
      <w:spacing/>
      <w:ind/>
    </w:pPr>
    <w:tblPr>
      <w:tblStyleRowBandSize w:val="1"/>
      <w:tblStyleColBandSize w:val="1"/>
      <w:tblCellMar>
        <w:left w:w="108" w:type="dxa"/>
        <w:top w:w="0" w:type="dxa"/>
        <w:right w:w="108" w:type="dxa"/>
        <w:bottom w:w="0" w:type="dxa"/>
      </w:tblCellMar>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sz w:val="22"/>
      </w:rPr>
      <w:pPr>
        <w:pBdr/>
        <w:spacing/>
        <w:ind/>
      </w:pPr>
      <w:tblPr>
        <w:tblBorders/>
      </w:tblPr>
      <w:tcPr>
        <w:shd w:val="clear" w:color="daeef3" w:fill="daeef3" w:themeFill="accent5" w:themeFillTint="34"/>
        <w:tcBorders/>
      </w:tcPr>
    </w:tblStylePr>
    <w:tblStylePr w:type="band1Vert">
      <w:rPr>
        <w:sz w:val="22"/>
      </w:rPr>
      <w:pPr>
        <w:pBdr/>
        <w:spacing/>
        <w:ind/>
      </w:pPr>
      <w:tblPr>
        <w:tblBorders/>
      </w:tblPr>
      <w:tcPr>
        <w:shd w:val="clear" w:color="daeef3"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fill="auto"/>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9" w:customStyle="1">
    <w:name w:val="Grid Table 2 Accent 6"/>
    <w:basedOn w:val="1078"/>
    <w:uiPriority w:val="99"/>
    <w:pPr>
      <w:pBdr/>
      <w:spacing/>
      <w:ind/>
    </w:pPr>
    <w:tblPr>
      <w:tblStyleRowBandSize w:val="1"/>
      <w:tblStyleColBandSize w:val="1"/>
      <w:tblCellMar>
        <w:left w:w="108" w:type="dxa"/>
        <w:top w:w="0" w:type="dxa"/>
        <w:right w:w="108" w:type="dxa"/>
        <w:bottom w:w="0" w:type="dxa"/>
      </w:tblCellMar>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sz w:val="22"/>
      </w:rPr>
      <w:pPr>
        <w:pBdr/>
        <w:spacing/>
        <w:ind/>
      </w:pPr>
      <w:tblPr>
        <w:tblBorders/>
      </w:tblPr>
      <w:tcPr>
        <w:shd w:val="clear" w:color="fde9d8" w:fill="fde9d8" w:themeFill="accent6" w:themeFillTint="34"/>
        <w:tcBorders/>
      </w:tcPr>
    </w:tblStylePr>
    <w:tblStylePr w:type="band1Vert">
      <w:rPr>
        <w:sz w:val="22"/>
      </w:rPr>
      <w:pPr>
        <w:pBdr/>
        <w:spacing/>
        <w:ind/>
      </w:pPr>
      <w:tblPr>
        <w:tblBorders/>
      </w:tblPr>
      <w:tcPr>
        <w:shd w:val="clear" w:color="fde9d8"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fill="auto"/>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0" w:customStyle="1">
    <w:name w:val="Grid Table 3"/>
    <w:basedOn w:val="1078"/>
    <w:uiPriority w:val="99"/>
    <w:pPr>
      <w:pBdr/>
      <w:spacing/>
      <w:ind/>
    </w:pPr>
    <w:tblPr>
      <w:tblStyleRowBandSize w:val="1"/>
      <w:tblStyleColBandSize w:val="1"/>
      <w:tblCellMar>
        <w:left w:w="108" w:type="dxa"/>
        <w:top w:w="0" w:type="dxa"/>
        <w:right w:w="108" w:type="dxa"/>
        <w:bottom w:w="0" w:type="dxa"/>
      </w:tblCellMar>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sz w:val="22"/>
      </w:rPr>
      <w:pPr>
        <w:pBdr/>
        <w:spacing/>
        <w:ind/>
      </w:pPr>
      <w:tblPr>
        <w:tblBorders/>
      </w:tblPr>
      <w:tcPr>
        <w:shd w:val="clear" w:color="cbcbcb" w:fill="cbcbcb" w:themeFill="text1" w:themeFillTint="34"/>
        <w:tcBorders/>
      </w:tcPr>
    </w:tblStylePr>
    <w:tblStylePr w:type="band1Vert">
      <w:rPr>
        <w:sz w:val="22"/>
      </w:rPr>
      <w:pPr>
        <w:pBdr/>
        <w:spacing/>
        <w:ind/>
      </w:pPr>
      <w:tblPr>
        <w:tblBorders/>
      </w:tblPr>
      <w:tcPr>
        <w:shd w:val="clear" w:color="cbcbcb"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1" w:customStyle="1">
    <w:name w:val="Grid Table 3 Accent 1"/>
    <w:basedOn w:val="1078"/>
    <w:uiPriority w:val="99"/>
    <w:pPr>
      <w:pBdr/>
      <w:spacing/>
      <w:ind/>
    </w:pPr>
    <w:tblPr>
      <w:tblStyleRowBandSize w:val="1"/>
      <w:tblStyleColBandSize w:val="1"/>
      <w:tblCellMar>
        <w:left w:w="108" w:type="dxa"/>
        <w:top w:w="0" w:type="dxa"/>
        <w:right w:w="108" w:type="dxa"/>
        <w:bottom w:w="0" w:type="dxa"/>
      </w:tblCellMar>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sz w:val="22"/>
      </w:rPr>
      <w:pPr>
        <w:pBdr/>
        <w:spacing/>
        <w:ind/>
      </w:pPr>
      <w:tblPr>
        <w:tblBorders/>
      </w:tblPr>
      <w:tcPr>
        <w:shd w:val="clear" w:color="dae5f1" w:fill="dae5f1" w:themeFill="accent1" w:themeFillTint="34"/>
        <w:tcBorders/>
      </w:tcPr>
    </w:tblStylePr>
    <w:tblStylePr w:type="band1Vert">
      <w:rPr>
        <w:sz w:val="22"/>
      </w:rPr>
      <w:pPr>
        <w:pBdr/>
        <w:spacing/>
        <w:ind/>
      </w:pPr>
      <w:tblPr>
        <w:tblBorders/>
      </w:tblPr>
      <w:tcPr>
        <w:shd w:val="clear" w:color="dae5f1"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2" w:customStyle="1">
    <w:name w:val="Grid Table 3 Accent 2"/>
    <w:basedOn w:val="1078"/>
    <w:uiPriority w:val="99"/>
    <w:pPr>
      <w:pBdr/>
      <w:spacing/>
      <w:ind/>
    </w:pPr>
    <w:tblPr>
      <w:tblStyleRowBandSize w:val="1"/>
      <w:tblStyleColBandSize w:val="1"/>
      <w:tblCellMar>
        <w:left w:w="108" w:type="dxa"/>
        <w:top w:w="0" w:type="dxa"/>
        <w:right w:w="108" w:type="dxa"/>
        <w:bottom w:w="0" w:type="dxa"/>
      </w:tblCellMar>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sz w:val="22"/>
      </w:rPr>
      <w:pPr>
        <w:pBdr/>
        <w:spacing/>
        <w:ind/>
      </w:pPr>
      <w:tblPr>
        <w:tblBorders/>
      </w:tblPr>
      <w:tcPr>
        <w:shd w:val="clear" w:color="f2dcdc" w:fill="f2dcdc" w:themeFill="accent2" w:themeFillTint="32"/>
        <w:tcBorders/>
      </w:tcPr>
    </w:tblStylePr>
    <w:tblStylePr w:type="band1Vert">
      <w:rPr>
        <w:sz w:val="22"/>
      </w:rPr>
      <w:pPr>
        <w:pBdr/>
        <w:spacing/>
        <w:ind/>
      </w:pPr>
      <w:tblPr>
        <w:tblBorders/>
      </w:tblPr>
      <w:tcPr>
        <w:shd w:val="clear" w:color="f2dcdc"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3" w:customStyle="1">
    <w:name w:val="Grid Table 3 Accent 3"/>
    <w:basedOn w:val="1078"/>
    <w:uiPriority w:val="99"/>
    <w:pPr>
      <w:pBdr/>
      <w:spacing/>
      <w:ind/>
    </w:pPr>
    <w:tblPr>
      <w:tblStyleRowBandSize w:val="1"/>
      <w:tblStyleColBandSize w:val="1"/>
      <w:tblCellMar>
        <w:left w:w="108" w:type="dxa"/>
        <w:top w:w="0" w:type="dxa"/>
        <w:right w:w="108" w:type="dxa"/>
        <w:bottom w:w="0" w:type="dxa"/>
      </w:tblCellMar>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sz w:val="22"/>
      </w:rPr>
      <w:pPr>
        <w:pBdr/>
        <w:spacing/>
        <w:ind/>
      </w:pPr>
      <w:tblPr>
        <w:tblBorders/>
      </w:tblPr>
      <w:tcPr>
        <w:shd w:val="clear" w:color="eaf1dc" w:fill="eaf1dc" w:themeFill="accent3" w:themeFillTint="34"/>
        <w:tcBorders/>
      </w:tcPr>
    </w:tblStylePr>
    <w:tblStylePr w:type="band1Vert">
      <w:rPr>
        <w:sz w:val="22"/>
      </w:rPr>
      <w:pPr>
        <w:pBdr/>
        <w:spacing/>
        <w:ind/>
      </w:pPr>
      <w:tblPr>
        <w:tblBorders/>
      </w:tblPr>
      <w:tcPr>
        <w:shd w:val="clear" w:color="eaf1dc"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4" w:customStyle="1">
    <w:name w:val="Grid Table 3 Accent 4"/>
    <w:basedOn w:val="1078"/>
    <w:uiPriority w:val="99"/>
    <w:pPr>
      <w:pBdr/>
      <w:spacing/>
      <w:ind/>
    </w:pPr>
    <w:tblPr>
      <w:tblStyleRowBandSize w:val="1"/>
      <w:tblStyleColBandSize w:val="1"/>
      <w:tblCellMar>
        <w:left w:w="108" w:type="dxa"/>
        <w:top w:w="0" w:type="dxa"/>
        <w:right w:w="108" w:type="dxa"/>
        <w:bottom w:w="0" w:type="dxa"/>
      </w:tblCellMar>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sz w:val="22"/>
      </w:rPr>
      <w:pPr>
        <w:pBdr/>
        <w:spacing/>
        <w:ind/>
      </w:pPr>
      <w:tblPr>
        <w:tblBorders/>
      </w:tblPr>
      <w:tcPr>
        <w:shd w:val="clear" w:color="e5dfec" w:fill="e5dfec" w:themeFill="accent4" w:themeFillTint="34"/>
        <w:tcBorders/>
      </w:tcPr>
    </w:tblStylePr>
    <w:tblStylePr w:type="band1Vert">
      <w:rPr>
        <w:sz w:val="22"/>
      </w:rPr>
      <w:pPr>
        <w:pBdr/>
        <w:spacing/>
        <w:ind/>
      </w:pPr>
      <w:tblPr>
        <w:tblBorders/>
      </w:tblPr>
      <w:tcPr>
        <w:shd w:val="clear" w:color="e5dfec"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5" w:customStyle="1">
    <w:name w:val="Grid Table 3 Accent 5"/>
    <w:basedOn w:val="1078"/>
    <w:uiPriority w:val="99"/>
    <w:pPr>
      <w:pBdr/>
      <w:spacing/>
      <w:ind/>
    </w:pPr>
    <w:tblPr>
      <w:tblStyleRowBandSize w:val="1"/>
      <w:tblStyleColBandSize w:val="1"/>
      <w:tblCellMar>
        <w:left w:w="108" w:type="dxa"/>
        <w:top w:w="0" w:type="dxa"/>
        <w:right w:w="108" w:type="dxa"/>
        <w:bottom w:w="0" w:type="dxa"/>
      </w:tblCellMar>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sz w:val="22"/>
      </w:rPr>
      <w:pPr>
        <w:pBdr/>
        <w:spacing/>
        <w:ind/>
      </w:pPr>
      <w:tblPr>
        <w:tblBorders/>
      </w:tblPr>
      <w:tcPr>
        <w:shd w:val="clear" w:color="daeef3" w:fill="daeef3" w:themeFill="accent5" w:themeFillTint="34"/>
        <w:tcBorders/>
      </w:tcPr>
    </w:tblStylePr>
    <w:tblStylePr w:type="band1Vert">
      <w:rPr>
        <w:sz w:val="22"/>
      </w:rPr>
      <w:pPr>
        <w:pBdr/>
        <w:spacing/>
        <w:ind/>
      </w:pPr>
      <w:tblPr>
        <w:tblBorders/>
      </w:tblPr>
      <w:tcPr>
        <w:shd w:val="clear" w:color="daeef3"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6" w:customStyle="1">
    <w:name w:val="Grid Table 3 Accent 6"/>
    <w:basedOn w:val="1078"/>
    <w:uiPriority w:val="99"/>
    <w:pPr>
      <w:pBdr/>
      <w:spacing/>
      <w:ind/>
    </w:pPr>
    <w:tblPr>
      <w:tblStyleRowBandSize w:val="1"/>
      <w:tblStyleColBandSize w:val="1"/>
      <w:tblCellMar>
        <w:left w:w="108" w:type="dxa"/>
        <w:top w:w="0" w:type="dxa"/>
        <w:right w:w="108" w:type="dxa"/>
        <w:bottom w:w="0" w:type="dxa"/>
      </w:tblCellMar>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sz w:val="22"/>
      </w:rPr>
      <w:pPr>
        <w:pBdr/>
        <w:spacing/>
        <w:ind/>
      </w:pPr>
      <w:tblPr>
        <w:tblBorders/>
      </w:tblPr>
      <w:tcPr>
        <w:shd w:val="clear" w:color="fde9d8" w:fill="fde9d8" w:themeFill="accent6" w:themeFillTint="34"/>
        <w:tcBorders/>
      </w:tcPr>
    </w:tblStylePr>
    <w:tblStylePr w:type="band1Vert">
      <w:rPr>
        <w:sz w:val="22"/>
      </w:rPr>
      <w:pPr>
        <w:pBdr/>
        <w:spacing/>
        <w:ind/>
      </w:pPr>
      <w:tblPr>
        <w:tblBorders/>
      </w:tblPr>
      <w:tcPr>
        <w:shd w:val="clear" w:color="fde9d8"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7" w:customStyle="1">
    <w:name w:val="Grid Table 4"/>
    <w:basedOn w:val="1078"/>
    <w:uiPriority w:val="59"/>
    <w:pPr>
      <w:pBdr/>
      <w:spacing/>
      <w:ind/>
    </w:pPr>
    <w:tblPr>
      <w:tblStyleRowBandSize w:val="1"/>
      <w:tblStyleColBandSize w:val="1"/>
      <w:tblCellMar>
        <w:left w:w="108" w:type="dxa"/>
        <w:top w:w="0" w:type="dxa"/>
        <w:right w:w="108" w:type="dxa"/>
        <w:bottom w:w="0" w:type="dxa"/>
      </w:tblCellMar>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sz w:val="22"/>
      </w:rPr>
      <w:pPr>
        <w:pBdr/>
        <w:spacing/>
        <w:ind/>
      </w:pPr>
      <w:tblPr>
        <w:tblBorders/>
      </w:tblPr>
      <w:tcPr>
        <w:shd w:val="clear" w:color="cbcbcb" w:fill="cbcbcb" w:themeFill="text1" w:themeFillTint="34"/>
        <w:tcBorders/>
      </w:tcPr>
    </w:tblStylePr>
    <w:tblStylePr w:type="band1Vert">
      <w:rPr>
        <w:sz w:val="22"/>
      </w:rPr>
      <w:pPr>
        <w:pBdr/>
        <w:spacing/>
        <w:ind/>
      </w:pPr>
      <w:tblPr>
        <w:tblBorders/>
      </w:tblPr>
      <w:tcPr>
        <w:shd w:val="clear" w:color="cbcbcb"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000000"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8" w:customStyle="1">
    <w:name w:val="Grid Table 4 Accent 1"/>
    <w:basedOn w:val="1078"/>
    <w:uiPriority w:val="59"/>
    <w:pPr>
      <w:pBdr/>
      <w:spacing/>
      <w:ind/>
    </w:pPr>
    <w:tblPr>
      <w:tblStyleRowBandSize w:val="1"/>
      <w:tblStyleColBandSize w:val="1"/>
      <w:tblCellMar>
        <w:left w:w="108" w:type="dxa"/>
        <w:top w:w="0" w:type="dxa"/>
        <w:right w:w="108" w:type="dxa"/>
        <w:bottom w:w="0" w:type="dxa"/>
      </w:tblCellMa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cPr>
      <w:tcBorders/>
    </w:tcPr>
    <w:tblStylePr w:type="band1Horz">
      <w:rPr>
        <w:sz w:val="22"/>
      </w:rPr>
      <w:pPr>
        <w:pBdr/>
        <w:spacing/>
        <w:ind/>
      </w:pPr>
      <w:tblPr>
        <w:tblBorders/>
      </w:tblPr>
      <w:tcPr>
        <w:shd w:val="clear" w:color="dce6f2" w:fill="dce6f2" w:themeFill="accent1" w:themeFillTint="32"/>
        <w:tcBorders/>
      </w:tcPr>
    </w:tblStylePr>
    <w:tblStylePr w:type="band1Vert">
      <w:rPr>
        <w:sz w:val="22"/>
      </w:rPr>
      <w:pPr>
        <w:pBdr/>
        <w:spacing/>
        <w:ind/>
      </w:pPr>
      <w:tblPr>
        <w:tblBorders/>
      </w:tblPr>
      <w:tcPr>
        <w:shd w:val="clear" w:color="dce6f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5d8ac2" w:fill="5d8ac2" w:themeFill="accent1" w:themeFillTint="EA"/>
        <w:tcBorders>
          <w:top w:val="single" w:color="5d8ac2" w:themeColor="accent1" w:sz="4" w:space="0"/>
          <w:left w:val="single" w:color="5d8ac2" w:themeColor="accent1" w:sz="4" w:space="0"/>
          <w:bottom w:val="single" w:color="5d8ac2" w:themeColor="accent1" w:sz="4" w:space="0"/>
          <w:right w:val="single" w:color="5d8ac2" w:themeColor="accent1"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5d8ac2"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9" w:customStyle="1">
    <w:name w:val="Grid Table 4 Accent 2"/>
    <w:basedOn w:val="1078"/>
    <w:uiPriority w:val="59"/>
    <w:pPr>
      <w:pBdr/>
      <w:spacing/>
      <w:ind/>
    </w:pPr>
    <w:tblPr>
      <w:tblStyleRowBandSize w:val="1"/>
      <w:tblStyleColBandSize w:val="1"/>
      <w:tblCellMar>
        <w:left w:w="108" w:type="dxa"/>
        <w:top w:w="0" w:type="dxa"/>
        <w:right w:w="108" w:type="dxa"/>
        <w:bottom w:w="0" w:type="dxa"/>
      </w:tblCellMar>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cPr>
      <w:tcBorders/>
    </w:tcPr>
    <w:tblStylePr w:type="band1Horz">
      <w:rPr>
        <w:sz w:val="22"/>
      </w:rPr>
      <w:pPr>
        <w:pBdr/>
        <w:spacing/>
        <w:ind/>
      </w:pPr>
      <w:tblPr>
        <w:tblBorders/>
      </w:tblPr>
      <w:tcPr>
        <w:shd w:val="clear" w:color="f2dcdc" w:fill="f2dcdc" w:themeFill="accent2" w:themeFillTint="32"/>
        <w:tcBorders/>
      </w:tcPr>
    </w:tblStylePr>
    <w:tblStylePr w:type="band1Vert">
      <w:rPr>
        <w:sz w:val="22"/>
      </w:rPr>
      <w:pPr>
        <w:pBdr/>
        <w:spacing/>
        <w:ind/>
      </w:pPr>
      <w:tblPr>
        <w:tblBorders/>
      </w:tblPr>
      <w:tcPr>
        <w:shd w:val="clear" w:color="f2dcdc"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d99695" w:fill="d99695" w:themeFill="accent2" w:themeFillTint="97"/>
        <w:tcBorders>
          <w:top w:val="single" w:color="d99695" w:themeColor="accent2" w:sz="4" w:space="0"/>
          <w:left w:val="single" w:color="d99695" w:themeColor="accent2" w:sz="4" w:space="0"/>
          <w:bottom w:val="single" w:color="d99695" w:themeColor="accent2" w:sz="4" w:space="0"/>
          <w:right w:val="single" w:color="d99695" w:themeColor="accent2"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d99695" w:themeColor="accent2"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0" w:customStyle="1">
    <w:name w:val="Grid Table 4 Accent 3"/>
    <w:basedOn w:val="1078"/>
    <w:uiPriority w:val="59"/>
    <w:pPr>
      <w:pBdr/>
      <w:spacing/>
      <w:ind/>
    </w:pPr>
    <w:tblPr>
      <w:tblStyleRowBandSize w:val="1"/>
      <w:tblStyleColBandSize w:val="1"/>
      <w:tblCellMar>
        <w:left w:w="108" w:type="dxa"/>
        <w:top w:w="0" w:type="dxa"/>
        <w:right w:w="108" w:type="dxa"/>
        <w:bottom w:w="0" w:type="dxa"/>
      </w:tblCellMa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cPr>
      <w:tcBorders/>
    </w:tcPr>
    <w:tblStylePr w:type="band1Horz">
      <w:rPr>
        <w:sz w:val="22"/>
      </w:rPr>
      <w:pPr>
        <w:pBdr/>
        <w:spacing/>
        <w:ind/>
      </w:pPr>
      <w:tblPr>
        <w:tblBorders/>
      </w:tblPr>
      <w:tcPr>
        <w:shd w:val="clear" w:color="eaf1dc" w:fill="eaf1dc" w:themeFill="accent3" w:themeFillTint="34"/>
        <w:tcBorders/>
      </w:tcPr>
    </w:tblStylePr>
    <w:tblStylePr w:type="band1Vert">
      <w:rPr>
        <w:sz w:val="22"/>
      </w:rPr>
      <w:pPr>
        <w:pBdr/>
        <w:spacing/>
        <w:ind/>
      </w:pPr>
      <w:tblPr>
        <w:tblBorders/>
      </w:tblPr>
      <w:tcPr>
        <w:shd w:val="clear" w:color="eaf1dc"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9abb59" w:fill="9abb59" w:themeFill="accent3" w:themeFillTint="FE"/>
        <w:tcBorders>
          <w:top w:val="single" w:color="9abb59" w:themeColor="accent3" w:sz="4" w:space="0"/>
          <w:left w:val="single" w:color="9abb59" w:themeColor="accent3" w:sz="4" w:space="0"/>
          <w:bottom w:val="single" w:color="9abb59" w:themeColor="accent3" w:sz="4" w:space="0"/>
          <w:right w:val="single" w:color="9abb59" w:themeColor="accent3"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9abb59" w:themeColor="accent3"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1" w:customStyle="1">
    <w:name w:val="Grid Table 4 Accent 4"/>
    <w:basedOn w:val="1078"/>
    <w:uiPriority w:val="59"/>
    <w:pPr>
      <w:pBdr/>
      <w:spacing/>
      <w:ind/>
    </w:pPr>
    <w:tblPr>
      <w:tblStyleRowBandSize w:val="1"/>
      <w:tblStyleColBandSize w:val="1"/>
      <w:tblCellMar>
        <w:left w:w="108" w:type="dxa"/>
        <w:top w:w="0" w:type="dxa"/>
        <w:right w:w="108" w:type="dxa"/>
        <w:bottom w:w="0" w:type="dxa"/>
      </w:tblCellMa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cPr>
      <w:tcBorders/>
    </w:tcPr>
    <w:tblStylePr w:type="band1Horz">
      <w:rPr>
        <w:sz w:val="22"/>
      </w:rPr>
      <w:pPr>
        <w:pBdr/>
        <w:spacing/>
        <w:ind/>
      </w:pPr>
      <w:tblPr>
        <w:tblBorders/>
      </w:tblPr>
      <w:tcPr>
        <w:shd w:val="clear" w:color="e5dfec" w:fill="e5dfec" w:themeFill="accent4" w:themeFillTint="34"/>
        <w:tcBorders/>
      </w:tcPr>
    </w:tblStylePr>
    <w:tblStylePr w:type="band1Vert">
      <w:rPr>
        <w:sz w:val="22"/>
      </w:rPr>
      <w:pPr>
        <w:pBdr/>
        <w:spacing/>
        <w:ind/>
      </w:pPr>
      <w:tblPr>
        <w:tblBorders/>
      </w:tblPr>
      <w:tcPr>
        <w:shd w:val="clear" w:color="e5dfec"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b2a1c6" w:fill="b2a1c6" w:themeFill="accent4" w:themeFillTint="9A"/>
        <w:tcBorders>
          <w:top w:val="single" w:color="b2a1c6" w:themeColor="accent4" w:sz="4" w:space="0"/>
          <w:left w:val="single" w:color="b2a1c6" w:themeColor="accent4" w:sz="4" w:space="0"/>
          <w:bottom w:val="single" w:color="b2a1c6" w:themeColor="accent4" w:sz="4" w:space="0"/>
          <w:right w:val="single" w:color="b2a1c6" w:themeColor="accent4"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b2a1c6" w:themeColor="accent4"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2" w:customStyle="1">
    <w:name w:val="Grid Table 4 Accent 5"/>
    <w:basedOn w:val="1078"/>
    <w:uiPriority w:val="59"/>
    <w:pPr>
      <w:pBdr/>
      <w:spacing/>
      <w:ind/>
    </w:pPr>
    <w:tblPr>
      <w:tblStyleRowBandSize w:val="1"/>
      <w:tblStyleColBandSize w:val="1"/>
      <w:tblCellMar>
        <w:left w:w="108" w:type="dxa"/>
        <w:top w:w="0" w:type="dxa"/>
        <w:right w:w="108" w:type="dxa"/>
        <w:bottom w:w="0" w:type="dxa"/>
      </w:tblCellMa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sz w:val="22"/>
      </w:rPr>
      <w:pPr>
        <w:pBdr/>
        <w:spacing/>
        <w:ind/>
      </w:pPr>
      <w:tblPr>
        <w:tblBorders/>
      </w:tblPr>
      <w:tcPr>
        <w:shd w:val="clear" w:color="daeef3" w:fill="daeef3" w:themeFill="accent5" w:themeFillTint="34"/>
        <w:tcBorders/>
      </w:tcPr>
    </w:tblStylePr>
    <w:tblStylePr w:type="band1Vert">
      <w:rPr>
        <w:sz w:val="22"/>
      </w:rPr>
      <w:pPr>
        <w:pBdr/>
        <w:spacing/>
        <w:ind/>
      </w:pPr>
      <w:tblPr>
        <w:tblBorders/>
      </w:tblPr>
      <w:tcPr>
        <w:shd w:val="clear" w:color="daeef3"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4bacc6"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4bacc6"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3" w:customStyle="1">
    <w:name w:val="Grid Table 4 Accent 6"/>
    <w:basedOn w:val="1078"/>
    <w:uiPriority w:val="59"/>
    <w:pPr>
      <w:pBdr/>
      <w:spacing/>
      <w:ind/>
    </w:pPr>
    <w:tblPr>
      <w:tblStyleRowBandSize w:val="1"/>
      <w:tblStyleColBandSize w:val="1"/>
      <w:tblCellMar>
        <w:left w:w="108" w:type="dxa"/>
        <w:top w:w="0" w:type="dxa"/>
        <w:right w:w="108" w:type="dxa"/>
        <w:bottom w:w="0" w:type="dxa"/>
      </w:tblCellMa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sz w:val="22"/>
      </w:rPr>
      <w:pPr>
        <w:pBdr/>
        <w:spacing/>
        <w:ind/>
      </w:pPr>
      <w:tblPr>
        <w:tblBorders/>
      </w:tblPr>
      <w:tcPr>
        <w:shd w:val="clear" w:color="fde9d8" w:fill="fde9d8" w:themeFill="accent6" w:themeFillTint="34"/>
        <w:tcBorders/>
      </w:tcPr>
    </w:tblStylePr>
    <w:tblStylePr w:type="band1Vert">
      <w:rPr>
        <w:sz w:val="22"/>
      </w:rPr>
      <w:pPr>
        <w:pBdr/>
        <w:spacing/>
        <w:ind/>
      </w:pPr>
      <w:tblPr>
        <w:tblBorders/>
      </w:tblPr>
      <w:tcPr>
        <w:shd w:val="clear" w:color="fde9d8"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7964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f79646"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4" w:customStyle="1">
    <w:name w:val="Grid Table 5 Dark"/>
    <w:basedOn w:val="1078"/>
    <w:uiPriority w:val="99"/>
    <w:pPr>
      <w:pBdr/>
      <w:spacing/>
      <w:ind/>
    </w:pPr>
    <w:tblPr>
      <w:tblStyleRowBandSize w:val="1"/>
      <w:tblStyleColBandSize w:val="1"/>
      <w:tblCellMar>
        <w:left w:w="108" w:type="dxa"/>
        <w:top w:w="0" w:type="dxa"/>
        <w:right w:w="108" w:type="dxa"/>
        <w:bottom w:w="0" w:type="dxa"/>
      </w:tblCellMa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cPr>
      <w:tcBorders/>
    </w:tcPr>
    <w:tblStylePr w:type="band1Horz">
      <w:pPr>
        <w:pBdr/>
        <w:spacing/>
        <w:ind/>
      </w:pPr>
      <w:tblPr>
        <w:tblBorders/>
      </w:tblPr>
      <w:tcPr>
        <w:shd w:val="clear" w:color="8a8a8a" w:fill="8a8a8a" w:themeFill="text1" w:themeFillTint="75"/>
        <w:tcBorders/>
      </w:tcPr>
    </w:tblStylePr>
    <w:tblStylePr w:type="band1Vert">
      <w:pPr>
        <w:pBdr/>
        <w:spacing/>
        <w:ind/>
      </w:pPr>
      <w:tblPr>
        <w:tblBorders/>
      </w:tblPr>
      <w:tcPr>
        <w:shd w:val="clear" w:color="8a8a8a"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shd w:val="clear" w:color="000000" w:fill="000000" w:themeFill="text1"/>
        <w:tcBorders/>
      </w:tcPr>
    </w:tblStylePr>
    <w:tblStylePr w:type="firstRow">
      <w:rPr>
        <w:b/>
        <w:sz w:val="22"/>
      </w:rPr>
      <w:pPr>
        <w:pBdr/>
        <w:spacing/>
        <w:ind/>
      </w:pPr>
      <w:tblPr>
        <w:tblBorders/>
      </w:tblPr>
      <w:tcPr>
        <w:shd w:val="clear" w:color="000000" w:fill="000000" w:themeFill="text1"/>
        <w:tcBorders/>
      </w:tcPr>
    </w:tblStylePr>
    <w:tblStylePr w:type="lastCol">
      <w:rPr>
        <w:b/>
        <w:sz w:val="22"/>
      </w:rPr>
      <w:pPr>
        <w:pBdr/>
        <w:spacing/>
        <w:ind/>
      </w:pPr>
      <w:tblPr>
        <w:tblBorders/>
      </w:tblPr>
      <w:tcPr>
        <w:shd w:val="clear" w:color="000000" w:fill="000000" w:themeFill="text1"/>
        <w:tcBorders/>
      </w:tcPr>
    </w:tblStylePr>
    <w:tblStylePr w:type="lastRow">
      <w:rPr>
        <w:b/>
        <w:sz w:val="22"/>
      </w:rPr>
      <w:pPr>
        <w:pBdr/>
        <w:spacing/>
        <w:ind/>
      </w:pPr>
      <w:tblPr>
        <w:tblBorders/>
      </w:tblPr>
      <w:tcPr>
        <w:shd w:val="clear" w:color="000000"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5" w:customStyle="1">
    <w:name w:val="Grid Table 5 Dark- Accent 1"/>
    <w:basedOn w:val="1078"/>
    <w:uiPriority w:val="99"/>
    <w:pPr>
      <w:pBdr/>
      <w:spacing/>
      <w:ind/>
    </w:pPr>
    <w:tblPr>
      <w:tblStyleRowBandSize w:val="1"/>
      <w:tblStyleColBandSize w:val="1"/>
      <w:tblCellMar>
        <w:left w:w="108" w:type="dxa"/>
        <w:top w:w="0" w:type="dxa"/>
        <w:right w:w="108" w:type="dxa"/>
        <w:bottom w:w="0" w:type="dxa"/>
      </w:tblCellMa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cPr>
      <w:tcBorders/>
    </w:tcPr>
    <w:tblStylePr w:type="band1Horz">
      <w:pPr>
        <w:pBdr/>
        <w:spacing/>
        <w:ind/>
      </w:pPr>
      <w:tblPr>
        <w:tblBorders/>
      </w:tblPr>
      <w:tcPr>
        <w:shd w:val="clear" w:color="aec4e0" w:fill="aec4e0" w:themeFill="accent1" w:themeFillTint="75"/>
        <w:tcBorders/>
      </w:tcPr>
    </w:tblStylePr>
    <w:tblStylePr w:type="band1Vert">
      <w:pPr>
        <w:pBdr/>
        <w:spacing/>
        <w:ind/>
      </w:pPr>
      <w:tblPr>
        <w:tblBorders/>
      </w:tblPr>
      <w:tcPr>
        <w:shd w:val="clear" w:color="aec4e0" w:fill="aec4e0"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shd w:val="clear" w:color="4f81bd" w:fill="4f81bd" w:themeFill="accent1"/>
        <w:tcBorders/>
      </w:tcPr>
    </w:tblStylePr>
    <w:tblStylePr w:type="firstRow">
      <w:rPr>
        <w:b/>
        <w:sz w:val="22"/>
      </w:rPr>
      <w:pPr>
        <w:pBdr/>
        <w:spacing/>
        <w:ind/>
      </w:pPr>
      <w:tblPr>
        <w:tblBorders/>
      </w:tblPr>
      <w:tcPr>
        <w:shd w:val="clear" w:color="4f81bd" w:fill="4f81bd" w:themeFill="accent1"/>
        <w:tcBorders/>
      </w:tcPr>
    </w:tblStylePr>
    <w:tblStylePr w:type="lastCol">
      <w:rPr>
        <w:b/>
        <w:sz w:val="22"/>
      </w:rPr>
      <w:pPr>
        <w:pBdr/>
        <w:spacing/>
        <w:ind/>
      </w:pPr>
      <w:tblPr>
        <w:tblBorders/>
      </w:tblPr>
      <w:tcPr>
        <w:shd w:val="clear" w:color="4f81bd" w:fill="4f81bd" w:themeFill="accent1"/>
        <w:tcBorders/>
      </w:tcPr>
    </w:tblStylePr>
    <w:tblStylePr w:type="lastRow">
      <w:rPr>
        <w:b/>
        <w:sz w:val="22"/>
      </w:rPr>
      <w:pPr>
        <w:pBdr/>
        <w:spacing/>
        <w:ind/>
      </w:pPr>
      <w:tblPr>
        <w:tblBorders/>
      </w:tblPr>
      <w:tcPr>
        <w:shd w:val="clear" w:color="4f81bd" w:fill="4f81bd"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6" w:customStyle="1">
    <w:name w:val="Grid Table 5 Dark Accent 2"/>
    <w:basedOn w:val="1078"/>
    <w:uiPriority w:val="99"/>
    <w:pPr>
      <w:pBdr/>
      <w:spacing/>
      <w:ind/>
    </w:pPr>
    <w:tblPr>
      <w:tblStyleRowBandSize w:val="1"/>
      <w:tblStyleColBandSize w:val="1"/>
      <w:tblCellMar>
        <w:left w:w="108" w:type="dxa"/>
        <w:top w:w="0" w:type="dxa"/>
        <w:right w:w="108" w:type="dxa"/>
        <w:bottom w:w="0" w:type="dxa"/>
      </w:tblCellMa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cPr>
      <w:tcBorders/>
    </w:tcPr>
    <w:tblStylePr w:type="band1Horz">
      <w:pPr>
        <w:pBdr/>
        <w:spacing/>
        <w:ind/>
      </w:pPr>
      <w:tblPr>
        <w:tblBorders/>
      </w:tblPr>
      <w:tcPr>
        <w:shd w:val="clear" w:color="e2aead" w:fill="e2aead" w:themeFill="accent2" w:themeFillTint="75"/>
        <w:tcBorders/>
      </w:tcPr>
    </w:tblStylePr>
    <w:tblStylePr w:type="band1Vert">
      <w:pPr>
        <w:pBdr/>
        <w:spacing/>
        <w:ind/>
      </w:pPr>
      <w:tblPr>
        <w:tblBorders/>
      </w:tblPr>
      <w:tcPr>
        <w:shd w:val="clear" w:color="e2aead" w:fill="e2ae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shd w:val="clear" w:color="c0504d" w:fill="c0504d" w:themeFill="accent2"/>
        <w:tcBorders/>
      </w:tcPr>
    </w:tblStylePr>
    <w:tblStylePr w:type="firstRow">
      <w:rPr>
        <w:b/>
        <w:sz w:val="22"/>
      </w:rPr>
      <w:pPr>
        <w:pBdr/>
        <w:spacing/>
        <w:ind/>
      </w:pPr>
      <w:tblPr>
        <w:tblBorders/>
      </w:tblPr>
      <w:tcPr>
        <w:shd w:val="clear" w:color="c0504d" w:fill="c0504d" w:themeFill="accent2"/>
        <w:tcBorders/>
      </w:tcPr>
    </w:tblStylePr>
    <w:tblStylePr w:type="lastCol">
      <w:rPr>
        <w:b/>
        <w:sz w:val="22"/>
      </w:rPr>
      <w:pPr>
        <w:pBdr/>
        <w:spacing/>
        <w:ind/>
      </w:pPr>
      <w:tblPr>
        <w:tblBorders/>
      </w:tblPr>
      <w:tcPr>
        <w:shd w:val="clear" w:color="c0504d" w:fill="c0504d" w:themeFill="accent2"/>
        <w:tcBorders/>
      </w:tcPr>
    </w:tblStylePr>
    <w:tblStylePr w:type="lastRow">
      <w:rPr>
        <w:b/>
        <w:sz w:val="22"/>
      </w:rPr>
      <w:pPr>
        <w:pBdr/>
        <w:spacing/>
        <w:ind/>
      </w:pPr>
      <w:tblPr>
        <w:tblBorders/>
      </w:tblPr>
      <w:tcPr>
        <w:shd w:val="clear" w:color="c0504d" w:fill="c0504d"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7" w:customStyle="1">
    <w:name w:val="Grid Table 5 Dark Accent 3"/>
    <w:basedOn w:val="1078"/>
    <w:uiPriority w:val="99"/>
    <w:pPr>
      <w:pBdr/>
      <w:spacing/>
      <w:ind/>
    </w:pPr>
    <w:tblPr>
      <w:tblStyleRowBandSize w:val="1"/>
      <w:tblStyleColBandSize w:val="1"/>
      <w:tblCellMar>
        <w:left w:w="108" w:type="dxa"/>
        <w:top w:w="0" w:type="dxa"/>
        <w:right w:w="108" w:type="dxa"/>
        <w:bottom w:w="0" w:type="dxa"/>
      </w:tblCellMa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cPr>
      <w:tcBorders/>
    </w:tcPr>
    <w:tblStylePr w:type="band1Horz">
      <w:pPr>
        <w:pBdr/>
        <w:spacing/>
        <w:ind/>
      </w:pPr>
      <w:tblPr>
        <w:tblBorders/>
      </w:tblPr>
      <w:tcPr>
        <w:shd w:val="clear" w:color="d0dfb2" w:fill="d0dfb2" w:themeFill="accent3" w:themeFillTint="75"/>
        <w:tcBorders/>
      </w:tcPr>
    </w:tblStylePr>
    <w:tblStylePr w:type="band1Vert">
      <w:pPr>
        <w:pBdr/>
        <w:spacing/>
        <w:ind/>
      </w:pPr>
      <w:tblPr>
        <w:tblBorders/>
      </w:tblPr>
      <w:tcPr>
        <w:shd w:val="clear" w:color="d0dfb2" w:fill="d0dfb2"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shd w:val="clear" w:color="9bbb59" w:fill="9bbb59" w:themeFill="accent3"/>
        <w:tcBorders/>
      </w:tcPr>
    </w:tblStylePr>
    <w:tblStylePr w:type="firstRow">
      <w:rPr>
        <w:b/>
        <w:sz w:val="22"/>
      </w:rPr>
      <w:pPr>
        <w:pBdr/>
        <w:spacing/>
        <w:ind/>
      </w:pPr>
      <w:tblPr>
        <w:tblBorders/>
      </w:tblPr>
      <w:tcPr>
        <w:shd w:val="clear" w:color="9bbb59" w:fill="9bbb59" w:themeFill="accent3"/>
        <w:tcBorders/>
      </w:tcPr>
    </w:tblStylePr>
    <w:tblStylePr w:type="lastCol">
      <w:rPr>
        <w:b/>
        <w:sz w:val="22"/>
      </w:rPr>
      <w:pPr>
        <w:pBdr/>
        <w:spacing/>
        <w:ind/>
      </w:pPr>
      <w:tblPr>
        <w:tblBorders/>
      </w:tblPr>
      <w:tcPr>
        <w:shd w:val="clear" w:color="9bbb59" w:fill="9bbb59" w:themeFill="accent3"/>
        <w:tcBorders/>
      </w:tcPr>
    </w:tblStylePr>
    <w:tblStylePr w:type="lastRow">
      <w:rPr>
        <w:b/>
        <w:sz w:val="22"/>
      </w:rPr>
      <w:pPr>
        <w:pBdr/>
        <w:spacing/>
        <w:ind/>
      </w:pPr>
      <w:tblPr>
        <w:tblBorders/>
      </w:tblPr>
      <w:tcPr>
        <w:shd w:val="clear" w:color="9bbb59" w:fill="9bbb59"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8" w:customStyle="1">
    <w:name w:val="Grid Table 5 Dark- Accent 4"/>
    <w:basedOn w:val="1078"/>
    <w:uiPriority w:val="99"/>
    <w:pPr>
      <w:pBdr/>
      <w:spacing/>
      <w:ind/>
    </w:pPr>
    <w:tblPr>
      <w:tblStyleRowBandSize w:val="1"/>
      <w:tblStyleColBandSize w:val="1"/>
      <w:tblCellMar>
        <w:left w:w="108" w:type="dxa"/>
        <w:top w:w="0" w:type="dxa"/>
        <w:right w:w="108" w:type="dxa"/>
        <w:bottom w:w="0" w:type="dxa"/>
      </w:tblCellMa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cPr>
      <w:tcBorders/>
    </w:tcPr>
    <w:tblStylePr w:type="band1Horz">
      <w:pPr>
        <w:pBdr/>
        <w:spacing/>
        <w:ind/>
      </w:pPr>
      <w:tblPr>
        <w:tblBorders/>
      </w:tblPr>
      <w:tcPr>
        <w:shd w:val="clear" w:color="c4b7d4" w:fill="c4b7d4" w:themeFill="accent4" w:themeFillTint="75"/>
        <w:tcBorders/>
      </w:tcPr>
    </w:tblStylePr>
    <w:tblStylePr w:type="band1Vert">
      <w:pPr>
        <w:pBdr/>
        <w:spacing/>
        <w:ind/>
      </w:pPr>
      <w:tblPr>
        <w:tblBorders/>
      </w:tblPr>
      <w:tcPr>
        <w:shd w:val="clear" w:color="c4b7d4" w:fill="c4b7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shd w:val="clear" w:color="8064a2" w:fill="8064a2" w:themeFill="accent4"/>
        <w:tcBorders/>
      </w:tcPr>
    </w:tblStylePr>
    <w:tblStylePr w:type="firstRow">
      <w:rPr>
        <w:b/>
        <w:sz w:val="22"/>
      </w:rPr>
      <w:pPr>
        <w:pBdr/>
        <w:spacing/>
        <w:ind/>
      </w:pPr>
      <w:tblPr>
        <w:tblBorders/>
      </w:tblPr>
      <w:tcPr>
        <w:shd w:val="clear" w:color="8064a2" w:fill="8064a2" w:themeFill="accent4"/>
        <w:tcBorders/>
      </w:tcPr>
    </w:tblStylePr>
    <w:tblStylePr w:type="lastCol">
      <w:rPr>
        <w:b/>
        <w:sz w:val="22"/>
      </w:rPr>
      <w:pPr>
        <w:pBdr/>
        <w:spacing/>
        <w:ind/>
      </w:pPr>
      <w:tblPr>
        <w:tblBorders/>
      </w:tblPr>
      <w:tcPr>
        <w:shd w:val="clear" w:color="8064a2" w:fill="8064a2" w:themeFill="accent4"/>
        <w:tcBorders/>
      </w:tcPr>
    </w:tblStylePr>
    <w:tblStylePr w:type="lastRow">
      <w:rPr>
        <w:b/>
        <w:sz w:val="22"/>
      </w:rPr>
      <w:pPr>
        <w:pBdr/>
        <w:spacing/>
        <w:ind/>
      </w:pPr>
      <w:tblPr>
        <w:tblBorders/>
      </w:tblPr>
      <w:tcPr>
        <w:shd w:val="clear" w:color="8064a2" w:fill="8064a2"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9" w:customStyle="1">
    <w:name w:val="Grid Table 5 Dark Accent 5"/>
    <w:basedOn w:val="1078"/>
    <w:uiPriority w:val="99"/>
    <w:pPr>
      <w:pBdr/>
      <w:spacing/>
      <w:ind/>
    </w:pPr>
    <w:tblPr>
      <w:tblStyleRowBandSize w:val="1"/>
      <w:tblStyleColBandSize w:val="1"/>
      <w:tblCellMar>
        <w:left w:w="108" w:type="dxa"/>
        <w:top w:w="0" w:type="dxa"/>
        <w:right w:w="108" w:type="dxa"/>
        <w:bottom w:w="0" w:type="dxa"/>
      </w:tblCellMa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cPr>
      <w:tcBorders/>
    </w:tcPr>
    <w:tblStylePr w:type="band1Horz">
      <w:pPr>
        <w:pBdr/>
        <w:spacing/>
        <w:ind/>
      </w:pPr>
      <w:tblPr>
        <w:tblBorders/>
      </w:tblPr>
      <w:tcPr>
        <w:shd w:val="clear" w:color="acd8e4" w:fill="acd8e4" w:themeFill="accent5" w:themeFillTint="75"/>
        <w:tcBorders/>
      </w:tcPr>
    </w:tblStylePr>
    <w:tblStylePr w:type="band1Vert">
      <w:pPr>
        <w:pBdr/>
        <w:spacing/>
        <w:ind/>
      </w:pPr>
      <w:tblPr>
        <w:tblBorders/>
      </w:tblPr>
      <w:tcPr>
        <w:shd w:val="clear" w:color="acd8e4" w:fill="acd8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shd w:val="clear" w:color="4bacc6" w:fill="4bacc6" w:themeFill="accent5"/>
        <w:tcBorders/>
      </w:tcPr>
    </w:tblStylePr>
    <w:tblStylePr w:type="firstRow">
      <w:rPr>
        <w:b/>
        <w:sz w:val="22"/>
      </w:rPr>
      <w:pPr>
        <w:pBdr/>
        <w:spacing/>
        <w:ind/>
      </w:pPr>
      <w:tblPr>
        <w:tblBorders/>
      </w:tblPr>
      <w:tcPr>
        <w:shd w:val="clear" w:color="4bacc6" w:fill="4bacc6" w:themeFill="accent5"/>
        <w:tcBorders/>
      </w:tcPr>
    </w:tblStylePr>
    <w:tblStylePr w:type="lastCol">
      <w:rPr>
        <w:b/>
        <w:sz w:val="22"/>
      </w:rPr>
      <w:pPr>
        <w:pBdr/>
        <w:spacing/>
        <w:ind/>
      </w:pPr>
      <w:tblPr>
        <w:tblBorders/>
      </w:tblPr>
      <w:tcPr>
        <w:shd w:val="clear" w:color="4bacc6" w:fill="4bacc6" w:themeFill="accent5"/>
        <w:tcBorders/>
      </w:tcPr>
    </w:tblStylePr>
    <w:tblStylePr w:type="lastRow">
      <w:rPr>
        <w:b/>
        <w:sz w:val="22"/>
      </w:rPr>
      <w:pPr>
        <w:pBdr/>
        <w:spacing/>
        <w:ind/>
      </w:pPr>
      <w:tblPr>
        <w:tblBorders/>
      </w:tblPr>
      <w:tcPr>
        <w:shd w:val="clear" w:color="4bacc6" w:fill="4bacc6"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0" w:customStyle="1">
    <w:name w:val="Grid Table 5 Dark Accent 6"/>
    <w:basedOn w:val="1078"/>
    <w:uiPriority w:val="99"/>
    <w:pPr>
      <w:pBdr/>
      <w:spacing/>
      <w:ind/>
    </w:pPr>
    <w:tblPr>
      <w:tblStyleRowBandSize w:val="1"/>
      <w:tblStyleColBandSize w:val="1"/>
      <w:tblCellMar>
        <w:left w:w="108" w:type="dxa"/>
        <w:top w:w="0" w:type="dxa"/>
        <w:right w:w="108" w:type="dxa"/>
        <w:bottom w:w="0" w:type="dxa"/>
      </w:tblCellMa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cPr>
      <w:tcBorders/>
    </w:tcPr>
    <w:tblStylePr w:type="band1Horz">
      <w:pPr>
        <w:pBdr/>
        <w:spacing/>
        <w:ind/>
      </w:pPr>
      <w:tblPr>
        <w:tblBorders/>
      </w:tblPr>
      <w:tcPr>
        <w:shd w:val="clear" w:color="fbceaa" w:fill="fbceaa" w:themeFill="accent6" w:themeFillTint="75"/>
        <w:tcBorders/>
      </w:tcPr>
    </w:tblStylePr>
    <w:tblStylePr w:type="band1Vert">
      <w:pPr>
        <w:pBdr/>
        <w:spacing/>
        <w:ind/>
      </w:pPr>
      <w:tblPr>
        <w:tblBorders/>
      </w:tblPr>
      <w:tcPr>
        <w:shd w:val="clear" w:color="fbceaa" w:fill="fbce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shd w:val="clear" w:color="f79646" w:fill="f79646" w:themeFill="accent6"/>
        <w:tcBorders/>
      </w:tcPr>
    </w:tblStylePr>
    <w:tblStylePr w:type="firstRow">
      <w:rPr>
        <w:b/>
        <w:sz w:val="22"/>
      </w:rPr>
      <w:pPr>
        <w:pBdr/>
        <w:spacing/>
        <w:ind/>
      </w:pPr>
      <w:tblPr>
        <w:tblBorders/>
      </w:tblPr>
      <w:tcPr>
        <w:shd w:val="clear" w:color="f79646" w:fill="f79646" w:themeFill="accent6"/>
        <w:tcBorders/>
      </w:tcPr>
    </w:tblStylePr>
    <w:tblStylePr w:type="lastCol">
      <w:rPr>
        <w:b/>
        <w:sz w:val="22"/>
      </w:rPr>
      <w:pPr>
        <w:pBdr/>
        <w:spacing/>
        <w:ind/>
      </w:pPr>
      <w:tblPr>
        <w:tblBorders/>
      </w:tblPr>
      <w:tcPr>
        <w:shd w:val="clear" w:color="f79646" w:fill="f79646" w:themeFill="accent6"/>
        <w:tcBorders/>
      </w:tcPr>
    </w:tblStylePr>
    <w:tblStylePr w:type="lastRow">
      <w:rPr>
        <w:b/>
        <w:sz w:val="22"/>
      </w:rPr>
      <w:pPr>
        <w:pBdr/>
        <w:spacing/>
        <w:ind/>
      </w:pPr>
      <w:tblPr>
        <w:tblBorders/>
      </w:tblPr>
      <w:tcPr>
        <w:shd w:val="clear" w:color="f79646" w:fill="f79646"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1" w:customStyle="1">
    <w:name w:val="Grid Table 6 Colorful"/>
    <w:basedOn w:val="1078"/>
    <w:uiPriority w:val="99"/>
    <w:pPr>
      <w:pBdr/>
      <w:spacing/>
      <w:ind/>
    </w:pPr>
    <w:tblPr>
      <w:tblStyleRowBandSize w:val="1"/>
      <w:tblStyleColBandSize w:val="1"/>
      <w:tblCellMar>
        <w:left w:w="108" w:type="dxa"/>
        <w:top w:w="0" w:type="dxa"/>
        <w:right w:w="108" w:type="dxa"/>
        <w:bottom w:w="0" w:type="dxa"/>
      </w:tblCellMa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color w:val="4a4a4a" w:themeColor="text1" w:themeTint="80" w:themeShade="95"/>
        <w:sz w:val="22"/>
      </w:rPr>
      <w:pPr>
        <w:pBdr/>
        <w:spacing/>
        <w:ind/>
      </w:pPr>
      <w:tblPr>
        <w:tblBorders/>
      </w:tblPr>
      <w:tcPr>
        <w:shd w:val="clear" w:color="cbcbcb" w:fill="cbcbcb" w:themeFill="text1" w:themeFillTint="34"/>
        <w:tcBorders/>
      </w:tcPr>
    </w:tblStylePr>
    <w:tblStylePr w:type="band1Vert">
      <w:pPr>
        <w:pBdr/>
        <w:spacing/>
        <w:ind/>
      </w:pPr>
      <w:tblPr>
        <w:tblBorders/>
      </w:tblPr>
      <w:tcPr>
        <w:shd w:val="clear" w:color="cbcbcb" w:fill="cbcbcb" w:themeFill="text1" w:themeFillTint="34"/>
        <w:tcBorders/>
      </w:tcPr>
    </w:tblStylePr>
    <w:tblStylePr w:type="band2Horz">
      <w:rPr>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7f7f7f" w:themeColor="text1"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2" w:customStyle="1">
    <w:name w:val="Grid Table 6 Colorful - Accent 1"/>
    <w:basedOn w:val="1078"/>
    <w:uiPriority w:val="99"/>
    <w:pPr>
      <w:pBdr/>
      <w:spacing/>
      <w:ind/>
    </w:pPr>
    <w:tblPr>
      <w:tblStyleRowBandSize w:val="1"/>
      <w:tblStyleColBandSize w:val="1"/>
      <w:tblCellMar>
        <w:left w:w="108" w:type="dxa"/>
        <w:top w:w="0" w:type="dxa"/>
        <w:right w:w="108" w:type="dxa"/>
        <w:bottom w:w="0" w:type="dxa"/>
      </w:tblCellMa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color w:val="3e6da5" w:themeColor="accent1" w:themeTint="80" w:themeShade="95"/>
        <w:sz w:val="22"/>
      </w:rPr>
      <w:pPr>
        <w:pBdr/>
        <w:spacing/>
        <w:ind/>
      </w:pPr>
      <w:tblPr>
        <w:tblBorders/>
      </w:tblPr>
      <w:tcPr>
        <w:shd w:val="clear" w:color="dae5f1" w:fill="dae5f1" w:themeFill="accent1" w:themeFillTint="34"/>
        <w:tcBorders/>
      </w:tcPr>
    </w:tblStylePr>
    <w:tblStylePr w:type="band1Vert">
      <w:pPr>
        <w:pBdr/>
        <w:spacing/>
        <w:ind/>
      </w:pPr>
      <w:tblPr>
        <w:tblBorders/>
      </w:tblPr>
      <w:tcPr>
        <w:shd w:val="clear" w:color="dae5f1" w:fill="dae5f1" w:themeFill="accent1" w:themeFillTint="34"/>
        <w:tcBorders/>
      </w:tcPr>
    </w:tblStylePr>
    <w:tblStylePr w:type="band2Horz">
      <w:rPr>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a6bfdd" w:themeColor="accent1"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3" w:customStyle="1">
    <w:name w:val="Grid Table 6 Colorful - Accent 2"/>
    <w:basedOn w:val="1078"/>
    <w:uiPriority w:val="99"/>
    <w:pPr>
      <w:pBdr/>
      <w:spacing/>
      <w:ind/>
    </w:pPr>
    <w:tblPr>
      <w:tblStyleRowBandSize w:val="1"/>
      <w:tblStyleColBandSize w:val="1"/>
      <w:tblCellMar>
        <w:left w:w="108" w:type="dxa"/>
        <w:top w:w="0" w:type="dxa"/>
        <w:right w:w="108" w:type="dxa"/>
        <w:bottom w:w="0" w:type="dxa"/>
      </w:tblCellMar>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color w:val="9f3b38" w:themeColor="accent2" w:themeTint="97" w:themeShade="95"/>
        <w:sz w:val="22"/>
      </w:rPr>
      <w:pPr>
        <w:pBdr/>
        <w:spacing/>
        <w:ind/>
      </w:pPr>
      <w:tblPr>
        <w:tblBorders/>
      </w:tblPr>
      <w:tcPr>
        <w:shd w:val="clear" w:color="f2dcdc" w:fill="f2dcdc" w:themeFill="accent2" w:themeFillTint="32"/>
        <w:tcBorders/>
      </w:tcPr>
    </w:tblStylePr>
    <w:tblStylePr w:type="band1Vert">
      <w:pPr>
        <w:pBdr/>
        <w:spacing/>
        <w:ind/>
      </w:pPr>
      <w:tblPr>
        <w:tblBorders/>
      </w:tblPr>
      <w:tcPr>
        <w:shd w:val="clear" w:color="f2dcdc" w:fill="f2dcdc" w:themeFill="accent2" w:themeFillTint="32"/>
        <w:tcBorders/>
      </w:tcPr>
    </w:tblStylePr>
    <w:tblStylePr w:type="band2Horz">
      <w:rPr>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d99695" w:themeColor="accent2"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4" w:customStyle="1">
    <w:name w:val="Grid Table 6 Colorful - Accent 3"/>
    <w:basedOn w:val="1078"/>
    <w:uiPriority w:val="99"/>
    <w:pPr>
      <w:pBdr/>
      <w:spacing/>
      <w:ind/>
    </w:pPr>
    <w:tblPr>
      <w:tblStyleRowBandSize w:val="1"/>
      <w:tblStyleColBandSize w:val="1"/>
      <w:tblCellMar>
        <w:left w:w="108" w:type="dxa"/>
        <w:top w:w="0" w:type="dxa"/>
        <w:right w:w="108" w:type="dxa"/>
        <w:bottom w:w="0" w:type="dxa"/>
      </w:tblCellMar>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color w:val="5d732f" w:themeColor="accent3" w:themeTint="FE" w:themeShade="95"/>
        <w:sz w:val="22"/>
      </w:rPr>
      <w:pPr>
        <w:pBdr/>
        <w:spacing/>
        <w:ind/>
      </w:pPr>
      <w:tblPr>
        <w:tblBorders/>
      </w:tblPr>
      <w:tcPr>
        <w:shd w:val="clear" w:color="eaf1dc" w:fill="eaf1dc" w:themeFill="accent3" w:themeFillTint="34"/>
        <w:tcBorders/>
      </w:tcPr>
    </w:tblStylePr>
    <w:tblStylePr w:type="band1Vert">
      <w:pPr>
        <w:pBdr/>
        <w:spacing/>
        <w:ind/>
      </w:pPr>
      <w:tblPr>
        <w:tblBorders/>
      </w:tblPr>
      <w:tcPr>
        <w:shd w:val="clear" w:color="eaf1dc" w:fill="eaf1dc" w:themeFill="accent3" w:themeFillTint="34"/>
        <w:tcBorders/>
      </w:tcPr>
    </w:tblStylePr>
    <w:tblStylePr w:type="band2Horz">
      <w:rPr>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9abb59" w:themeColor="accent3"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5" w:customStyle="1">
    <w:name w:val="Grid Table 6 Colorful - Accent 4"/>
    <w:basedOn w:val="1078"/>
    <w:uiPriority w:val="99"/>
    <w:pPr>
      <w:pBdr/>
      <w:spacing/>
      <w:ind/>
    </w:pPr>
    <w:tblPr>
      <w:tblStyleRowBandSize w:val="1"/>
      <w:tblStyleColBandSize w:val="1"/>
      <w:tblCellMar>
        <w:left w:w="108" w:type="dxa"/>
        <w:top w:w="0" w:type="dxa"/>
        <w:right w:w="108" w:type="dxa"/>
        <w:bottom w:w="0" w:type="dxa"/>
      </w:tblCellMa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color w:val="674f84" w:themeColor="accent4" w:themeTint="9A" w:themeShade="95"/>
        <w:sz w:val="22"/>
      </w:rPr>
      <w:pPr>
        <w:pBdr/>
        <w:spacing/>
        <w:ind/>
      </w:pPr>
      <w:tblPr>
        <w:tblBorders/>
      </w:tblPr>
      <w:tcPr>
        <w:shd w:val="clear" w:color="e5dfec" w:fill="e5dfec" w:themeFill="accent4" w:themeFillTint="34"/>
        <w:tcBorders/>
      </w:tcPr>
    </w:tblStylePr>
    <w:tblStylePr w:type="band1Vert">
      <w:pPr>
        <w:pBdr/>
        <w:spacing/>
        <w:ind/>
      </w:pPr>
      <w:tblPr>
        <w:tblBorders/>
      </w:tblPr>
      <w:tcPr>
        <w:shd w:val="clear" w:color="e5dfec" w:fill="e5dfec" w:themeFill="accent4" w:themeFillTint="34"/>
        <w:tcBorders/>
      </w:tcPr>
    </w:tblStylePr>
    <w:tblStylePr w:type="band2Horz">
      <w:rPr>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b2a1c6" w:themeColor="accent4"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6" w:customStyle="1">
    <w:name w:val="Grid Table 6 Colorful - Accent 5"/>
    <w:basedOn w:val="1078"/>
    <w:uiPriority w:val="99"/>
    <w:pPr>
      <w:pBdr/>
      <w:spacing/>
      <w:ind/>
    </w:pPr>
    <w:tblPr>
      <w:tblStyleRowBandSize w:val="1"/>
      <w:tblStyleColBandSize w:val="1"/>
      <w:tblCellMar>
        <w:left w:w="108" w:type="dxa"/>
        <w:top w:w="0" w:type="dxa"/>
        <w:right w:w="108" w:type="dxa"/>
        <w:bottom w:w="0" w:type="dxa"/>
      </w:tblCellMa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cPr>
      <w:tcBorders/>
    </w:tcPr>
    <w:tblStylePr w:type="band1Horz">
      <w:rPr>
        <w:color w:val="266879" w:themeColor="accent5" w:themeShade="95"/>
        <w:sz w:val="22"/>
      </w:rPr>
      <w:pPr>
        <w:pBdr/>
        <w:spacing/>
        <w:ind/>
      </w:pPr>
      <w:tblPr>
        <w:tblBorders/>
      </w:tblPr>
      <w:tcPr>
        <w:shd w:val="clear" w:color="daeef3" w:fill="daeef3" w:themeFill="accent5" w:themeFillTint="34"/>
        <w:tcBorders/>
      </w:tcPr>
    </w:tblStylePr>
    <w:tblStylePr w:type="band1Vert">
      <w:pPr>
        <w:pBdr/>
        <w:spacing/>
        <w:ind/>
      </w:pPr>
      <w:tblPr>
        <w:tblBorders/>
      </w:tblPr>
      <w:tcPr>
        <w:shd w:val="clear" w:color="daeef3" w:fill="daeef3" w:themeFill="accent5" w:themeFillTint="34"/>
        <w:tcBorders/>
      </w:tcPr>
    </w:tblStylePr>
    <w:tblStylePr w:type="band2Horz">
      <w:rPr>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4bacc6"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7" w:customStyle="1">
    <w:name w:val="Grid Table 6 Colorful - Accent 6"/>
    <w:basedOn w:val="1078"/>
    <w:uiPriority w:val="99"/>
    <w:pPr>
      <w:pBdr/>
      <w:spacing/>
      <w:ind/>
    </w:pPr>
    <w:tblPr>
      <w:tblStyleRowBandSize w:val="1"/>
      <w:tblStyleColBandSize w:val="1"/>
      <w:tblCellMar>
        <w:left w:w="108" w:type="dxa"/>
        <w:top w:w="0" w:type="dxa"/>
        <w:right w:w="108" w:type="dxa"/>
        <w:bottom w:w="0" w:type="dxa"/>
      </w:tblCellMa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cPr>
      <w:tcBorders/>
    </w:tcPr>
    <w:tblStylePr w:type="band1Horz">
      <w:rPr>
        <w:color w:val="266879" w:themeColor="accent5" w:themeShade="95"/>
        <w:sz w:val="22"/>
      </w:rPr>
      <w:pPr>
        <w:pBdr/>
        <w:spacing/>
        <w:ind/>
      </w:pPr>
      <w:tblPr>
        <w:tblBorders/>
      </w:tblPr>
      <w:tcPr>
        <w:shd w:val="clear" w:color="fde9d8" w:fill="fde9d8" w:themeFill="accent6" w:themeFillTint="34"/>
        <w:tcBorders/>
      </w:tcPr>
    </w:tblStylePr>
    <w:tblStylePr w:type="band1Vert">
      <w:pPr>
        <w:pBdr/>
        <w:spacing/>
        <w:ind/>
      </w:pPr>
      <w:tblPr>
        <w:tblBorders/>
      </w:tblPr>
      <w:tcPr>
        <w:shd w:val="clear" w:color="fde9d8" w:fill="fde9d8" w:themeFill="accent6" w:themeFillTint="34"/>
        <w:tcBorders/>
      </w:tcPr>
    </w:tblStylePr>
    <w:tblStylePr w:type="band2Horz">
      <w:rPr>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f79646"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8" w:customStyle="1">
    <w:name w:val="Grid Table 7 Colorful"/>
    <w:basedOn w:val="1078"/>
    <w:uiPriority w:val="99"/>
    <w:pPr>
      <w:pBdr/>
      <w:spacing/>
      <w:ind/>
    </w:pPr>
    <w:tblPr>
      <w:tblStyleRowBandSize w:val="1"/>
      <w:tblStyleColBandSize w:val="1"/>
      <w:tblCellMar>
        <w:left w:w="108" w:type="dxa"/>
        <w:top w:w="0" w:type="dxa"/>
        <w:right w:w="108" w:type="dxa"/>
        <w:bottom w:w="0" w:type="dxa"/>
      </w:tblCellMar>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color w:val="4a4a4a" w:themeColor="text1" w:themeTint="80" w:themeShade="95"/>
        <w:sz w:val="22"/>
      </w:rPr>
      <w:pPr>
        <w:pBdr/>
        <w:spacing/>
        <w:ind/>
      </w:pPr>
      <w:tblPr>
        <w:tblBorders/>
      </w:tblPr>
      <w:tcPr>
        <w:shd w:val="clear" w:color="f2f2f2" w:fill="f2f2f2" w:themeFill="text1" w:themeFillTint="00"/>
        <w:tcBorders/>
      </w:tcPr>
    </w:tblStylePr>
    <w:tblStylePr w:type="band1Vert">
      <w:pPr>
        <w:pBdr/>
        <w:spacing/>
        <w:ind/>
      </w:pPr>
      <w:tblPr>
        <w:tblBorders/>
      </w:tblPr>
      <w:tcPr>
        <w:shd w:val="clear" w:color="f2f2f2" w:fill="f2f2f2" w:themeFill="text1" w:themeFillTint="00"/>
        <w:tcBorders/>
      </w:tcPr>
    </w:tblStylePr>
    <w:tblStylePr w:type="band2Horz">
      <w:rPr>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4a4a4a"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sz="4" w:space="0"/>
        </w:tcBorders>
      </w:tcPr>
    </w:tblStylePr>
    <w:tblStylePr w:type="firstRow">
      <w:rPr>
        <w:b/>
        <w:color w:val="4a4a4a" w:themeColor="text1" w:themeTint="80" w:themeShade="95"/>
        <w:sz w:val="22"/>
      </w:rPr>
      <w:pPr>
        <w:pBdr/>
        <w:spacing/>
        <w:ind/>
      </w:pPr>
      <w:tblPr>
        <w:tblBorders/>
      </w:tblPr>
      <w:tcPr>
        <w:shd w:val="clear" w:color="ffffff" w:fill="ffffff" w:themeFill="light1"/>
        <w:tcBorders>
          <w:top w:val="none" w:color="000000" w:sz="4" w:space="0"/>
          <w:left w:val="none" w:color="000000" w:sz="4" w:space="0"/>
          <w:bottom w:val="single" w:color="7f7f7f" w:themeColor="text1" w:sz="4" w:space="0"/>
          <w:right w:val="none" w:color="000000" w:sz="4" w:space="0"/>
        </w:tcBorders>
      </w:tcPr>
    </w:tblStylePr>
    <w:tblStylePr w:type="lastCol">
      <w:rPr>
        <w:i/>
        <w:color w:val="4a4a4a" w:themeColor="text1" w:themeTint="80" w:themeShade="95"/>
        <w:sz w:val="22"/>
      </w:rPr>
      <w:pPr>
        <w:pBdr/>
        <w:spacing/>
        <w:ind/>
      </w:pPr>
      <w:tblPr>
        <w:tblBorders/>
      </w:tblPr>
      <w:tcPr>
        <w:shd w:val="clear" w:color="ffffff" w:fill="auto"/>
        <w:tcBorders>
          <w:top w:val="none" w:color="000000" w:sz="4" w:space="0"/>
          <w:left w:val="single" w:color="7f7f7f" w:themeColor="text1" w:sz="4" w:space="0"/>
          <w:bottom w:val="none" w:color="000000" w:sz="4" w:space="0"/>
          <w:right w:val="none" w:color="000000" w:sz="4" w:space="0"/>
        </w:tcBorders>
      </w:tcPr>
    </w:tblStylePr>
    <w:tblStylePr w:type="lastRow">
      <w:rPr>
        <w:b/>
        <w:color w:val="4a4a4a" w:themeColor="text1" w:themeTint="80" w:themeShade="95"/>
        <w:sz w:val="22"/>
      </w:rPr>
      <w:pPr>
        <w:pBdr/>
        <w:spacing/>
        <w:ind/>
      </w:pPr>
      <w:tblPr>
        <w:tblBorders/>
      </w:tblPr>
      <w:tcPr>
        <w:shd w:val="clear" w:color="ffffff" w:fill="ffffff" w:themeFill="light1"/>
        <w:tcBorders>
          <w:top w:val="single" w:color="7f7f7f"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9" w:customStyle="1">
    <w:name w:val="Grid Table 7 Colorful - Accent 1"/>
    <w:basedOn w:val="1078"/>
    <w:uiPriority w:val="99"/>
    <w:pPr>
      <w:pBdr/>
      <w:spacing/>
      <w:ind/>
    </w:pPr>
    <w:tblPr>
      <w:tblStyleRowBandSize w:val="1"/>
      <w:tblStyleColBandSize w:val="1"/>
      <w:tblCellMar>
        <w:left w:w="108" w:type="dxa"/>
        <w:top w:w="0" w:type="dxa"/>
        <w:right w:w="108" w:type="dxa"/>
        <w:bottom w:w="0" w:type="dxa"/>
      </w:tblCellMa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color w:val="3e6da5" w:themeColor="accent1" w:themeTint="80" w:themeShade="95"/>
        <w:sz w:val="22"/>
      </w:rPr>
      <w:pPr>
        <w:pBdr/>
        <w:spacing/>
        <w:ind/>
      </w:pPr>
      <w:tblPr>
        <w:tblBorders/>
      </w:tblPr>
      <w:tcPr>
        <w:shd w:val="clear" w:color="dae5f1" w:fill="dae5f1" w:themeFill="accent1" w:themeFillTint="34"/>
        <w:tcBorders/>
      </w:tcPr>
    </w:tblStylePr>
    <w:tblStylePr w:type="band1Vert">
      <w:pPr>
        <w:pBdr/>
        <w:spacing/>
        <w:ind/>
      </w:pPr>
      <w:tblPr>
        <w:tblBorders/>
      </w:tblPr>
      <w:tcPr>
        <w:shd w:val="clear" w:color="dae5f1" w:fill="dae5f1" w:themeFill="accent1" w:themeFillTint="34"/>
        <w:tcBorders/>
      </w:tcPr>
    </w:tblStylePr>
    <w:tblStylePr w:type="band2Horz">
      <w:rPr>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3e6da5"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6bfdd" w:themeColor="accent1" w:sz="4" w:space="0"/>
        </w:tcBorders>
      </w:tcPr>
    </w:tblStylePr>
    <w:tblStylePr w:type="firstRow">
      <w:rPr>
        <w:b/>
        <w:color w:val="3e6da5" w:themeColor="accent1" w:themeTint="80" w:themeShade="95"/>
        <w:sz w:val="22"/>
      </w:rPr>
      <w:pPr>
        <w:pBdr/>
        <w:spacing/>
        <w:ind/>
      </w:pPr>
      <w:tblPr>
        <w:tblBorders/>
      </w:tblPr>
      <w:tcPr>
        <w:shd w:val="clear" w:color="ffffff" w:fill="ffffff" w:themeFill="light1"/>
        <w:tcBorders>
          <w:top w:val="none" w:color="000000" w:sz="4" w:space="0"/>
          <w:left w:val="none" w:color="000000" w:sz="4" w:space="0"/>
          <w:bottom w:val="single" w:color="a6bfdd" w:themeColor="accent1" w:sz="4" w:space="0"/>
          <w:right w:val="none" w:color="000000" w:sz="4" w:space="0"/>
        </w:tcBorders>
      </w:tcPr>
    </w:tblStylePr>
    <w:tblStylePr w:type="lastCol">
      <w:rPr>
        <w:i/>
        <w:color w:val="3e6da5" w:themeColor="accent1" w:themeTint="80" w:themeShade="95"/>
        <w:sz w:val="22"/>
      </w:rPr>
      <w:pPr>
        <w:pBdr/>
        <w:spacing/>
        <w:ind/>
      </w:pPr>
      <w:tblPr>
        <w:tblBorders/>
      </w:tblPr>
      <w:tcPr>
        <w:shd w:val="clear" w:color="ffffff" w:fill="auto"/>
        <w:tcBorders>
          <w:top w:val="none" w:color="000000" w:sz="4" w:space="0"/>
          <w:left w:val="single" w:color="a6bfdd" w:themeColor="accent1" w:sz="4" w:space="0"/>
          <w:bottom w:val="none" w:color="000000" w:sz="4" w:space="0"/>
          <w:right w:val="none" w:color="000000" w:sz="4" w:space="0"/>
        </w:tcBorders>
      </w:tcPr>
    </w:tblStylePr>
    <w:tblStylePr w:type="lastRow">
      <w:rPr>
        <w:b/>
        <w:color w:val="3e6da5" w:themeColor="accent1" w:themeTint="80" w:themeShade="95"/>
        <w:sz w:val="22"/>
      </w:rPr>
      <w:pPr>
        <w:pBdr/>
        <w:spacing/>
        <w:ind/>
      </w:pPr>
      <w:tblPr>
        <w:tblBorders/>
      </w:tblPr>
      <w:tcPr>
        <w:shd w:val="clear" w:color="ffffff" w:fill="ffffff" w:themeFill="light1"/>
        <w:tcBorders>
          <w:top w:val="single" w:color="a6bfd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0" w:customStyle="1">
    <w:name w:val="Grid Table 7 Colorful - Accent 2"/>
    <w:basedOn w:val="1078"/>
    <w:uiPriority w:val="99"/>
    <w:pPr>
      <w:pBdr/>
      <w:spacing/>
      <w:ind/>
    </w:pPr>
    <w:tblPr>
      <w:tblStyleRowBandSize w:val="1"/>
      <w:tblStyleColBandSize w:val="1"/>
      <w:tblCellMar>
        <w:left w:w="108" w:type="dxa"/>
        <w:top w:w="0" w:type="dxa"/>
        <w:right w:w="108" w:type="dxa"/>
        <w:bottom w:w="0" w:type="dxa"/>
      </w:tblCellMar>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color w:val="9f3b38" w:themeColor="accent2" w:themeTint="97" w:themeShade="95"/>
        <w:sz w:val="22"/>
      </w:rPr>
      <w:pPr>
        <w:pBdr/>
        <w:spacing/>
        <w:ind/>
      </w:pPr>
      <w:tblPr>
        <w:tblBorders/>
      </w:tblPr>
      <w:tcPr>
        <w:shd w:val="clear" w:color="f2dcdc" w:fill="f2dcdc" w:themeFill="accent2" w:themeFillTint="32"/>
        <w:tcBorders/>
      </w:tcPr>
    </w:tblStylePr>
    <w:tblStylePr w:type="band1Vert">
      <w:pPr>
        <w:pBdr/>
        <w:spacing/>
        <w:ind/>
      </w:pPr>
      <w:tblPr>
        <w:tblBorders/>
      </w:tblPr>
      <w:tcPr>
        <w:shd w:val="clear" w:color="f2dcdc" w:fill="f2dcdc" w:themeFill="accent2" w:themeFillTint="32"/>
        <w:tcBorders/>
      </w:tcPr>
    </w:tblStylePr>
    <w:tblStylePr w:type="band2Horz">
      <w:rPr>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9f3b38"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sz="4" w:space="0"/>
        </w:tcBorders>
      </w:tcPr>
    </w:tblStylePr>
    <w:tblStylePr w:type="firstRow">
      <w:rPr>
        <w:b/>
        <w:color w:val="9f3b38" w:themeColor="accent2" w:themeTint="97" w:themeShade="95"/>
        <w:sz w:val="22"/>
      </w:rPr>
      <w:pPr>
        <w:pBdr/>
        <w:spacing/>
        <w:ind/>
      </w:pPr>
      <w:tblPr>
        <w:tblBorders/>
      </w:tblPr>
      <w:tcPr>
        <w:shd w:val="clear" w:color="ffffff" w:fill="ffffff" w:themeFill="light1"/>
        <w:tcBorders>
          <w:top w:val="none" w:color="000000" w:sz="4" w:space="0"/>
          <w:left w:val="none" w:color="000000" w:sz="4" w:space="0"/>
          <w:bottom w:val="single" w:color="d99695" w:themeColor="accent2" w:sz="4" w:space="0"/>
          <w:right w:val="none" w:color="000000" w:sz="4" w:space="0"/>
        </w:tcBorders>
      </w:tcPr>
    </w:tblStylePr>
    <w:tblStylePr w:type="lastCol">
      <w:rPr>
        <w:i/>
        <w:color w:val="9f3b38" w:themeColor="accent2" w:themeTint="97" w:themeShade="95"/>
        <w:sz w:val="22"/>
      </w:rPr>
      <w:pPr>
        <w:pBdr/>
        <w:spacing/>
        <w:ind/>
      </w:pPr>
      <w:tblPr>
        <w:tblBorders/>
      </w:tblPr>
      <w:tcPr>
        <w:shd w:val="clear" w:color="ffffff" w:fill="auto"/>
        <w:tcBorders>
          <w:top w:val="none" w:color="000000" w:sz="4" w:space="0"/>
          <w:left w:val="single" w:color="d99695" w:themeColor="accent2" w:sz="4" w:space="0"/>
          <w:bottom w:val="none" w:color="000000" w:sz="4" w:space="0"/>
          <w:right w:val="none" w:color="000000" w:sz="4" w:space="0"/>
        </w:tcBorders>
      </w:tcPr>
    </w:tblStylePr>
    <w:tblStylePr w:type="lastRow">
      <w:rPr>
        <w:b/>
        <w:color w:val="9f3b38" w:themeColor="accent2" w:themeTint="97" w:themeShade="95"/>
        <w:sz w:val="22"/>
      </w:rPr>
      <w:pPr>
        <w:pBdr/>
        <w:spacing/>
        <w:ind/>
      </w:pPr>
      <w:tblPr>
        <w:tblBorders/>
      </w:tblPr>
      <w:tcPr>
        <w:shd w:val="clear" w:color="ffffff" w:fill="ffffff" w:themeFill="light1"/>
        <w:tcBorders>
          <w:top w:val="single" w:color="d99695"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1" w:customStyle="1">
    <w:name w:val="Grid Table 7 Colorful - Accent 3"/>
    <w:basedOn w:val="1078"/>
    <w:uiPriority w:val="99"/>
    <w:pPr>
      <w:pBdr/>
      <w:spacing/>
      <w:ind/>
    </w:pPr>
    <w:tblPr>
      <w:tblStyleRowBandSize w:val="1"/>
      <w:tblStyleColBandSize w:val="1"/>
      <w:tblCellMar>
        <w:left w:w="108" w:type="dxa"/>
        <w:top w:w="0" w:type="dxa"/>
        <w:right w:w="108" w:type="dxa"/>
        <w:bottom w:w="0" w:type="dxa"/>
      </w:tblCellMar>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color w:val="5d732f" w:themeColor="accent3" w:themeTint="FE" w:themeShade="95"/>
        <w:sz w:val="22"/>
      </w:rPr>
      <w:pPr>
        <w:pBdr/>
        <w:spacing/>
        <w:ind/>
      </w:pPr>
      <w:tblPr>
        <w:tblBorders/>
      </w:tblPr>
      <w:tcPr>
        <w:shd w:val="clear" w:color="eaf1dc" w:fill="eaf1dc" w:themeFill="accent3" w:themeFillTint="34"/>
        <w:tcBorders/>
      </w:tcPr>
    </w:tblStylePr>
    <w:tblStylePr w:type="band1Vert">
      <w:pPr>
        <w:pBdr/>
        <w:spacing/>
        <w:ind/>
      </w:pPr>
      <w:tblPr>
        <w:tblBorders/>
      </w:tblPr>
      <w:tcPr>
        <w:shd w:val="clear" w:color="eaf1dc" w:fill="eaf1dc" w:themeFill="accent3" w:themeFillTint="34"/>
        <w:tcBorders/>
      </w:tcPr>
    </w:tblStylePr>
    <w:tblStylePr w:type="band2Horz">
      <w:rPr>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5d732f"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abb59" w:themeColor="accent3" w:sz="4" w:space="0"/>
        </w:tcBorders>
      </w:tcPr>
    </w:tblStylePr>
    <w:tblStylePr w:type="firstRow">
      <w:rPr>
        <w:b/>
        <w:color w:val="5d732f" w:themeColor="accent3" w:themeTint="FE" w:themeShade="95"/>
        <w:sz w:val="22"/>
      </w:rPr>
      <w:pPr>
        <w:pBdr/>
        <w:spacing/>
        <w:ind/>
      </w:pPr>
      <w:tblPr>
        <w:tblBorders/>
      </w:tblPr>
      <w:tcPr>
        <w:shd w:val="clear" w:color="ffffff" w:fill="ffffff" w:themeFill="light1"/>
        <w:tcBorders>
          <w:top w:val="none" w:color="000000" w:sz="4" w:space="0"/>
          <w:left w:val="none" w:color="000000" w:sz="4" w:space="0"/>
          <w:bottom w:val="single" w:color="9abb59" w:themeColor="accent3" w:sz="4" w:space="0"/>
          <w:right w:val="none" w:color="000000" w:sz="4" w:space="0"/>
        </w:tcBorders>
      </w:tcPr>
    </w:tblStylePr>
    <w:tblStylePr w:type="lastCol">
      <w:rPr>
        <w:i/>
        <w:color w:val="5d732f" w:themeColor="accent3" w:themeTint="FE" w:themeShade="95"/>
        <w:sz w:val="22"/>
      </w:rPr>
      <w:pPr>
        <w:pBdr/>
        <w:spacing/>
        <w:ind/>
      </w:pPr>
      <w:tblPr>
        <w:tblBorders/>
      </w:tblPr>
      <w:tcPr>
        <w:shd w:val="clear" w:color="ffffff" w:fill="auto"/>
        <w:tcBorders>
          <w:top w:val="none" w:color="000000" w:sz="4" w:space="0"/>
          <w:left w:val="single" w:color="9abb59" w:themeColor="accent3" w:sz="4" w:space="0"/>
          <w:bottom w:val="none" w:color="000000" w:sz="4" w:space="0"/>
          <w:right w:val="none" w:color="000000" w:sz="4" w:space="0"/>
        </w:tcBorders>
      </w:tcPr>
    </w:tblStylePr>
    <w:tblStylePr w:type="lastRow">
      <w:rPr>
        <w:b/>
        <w:color w:val="5d732f" w:themeColor="accent3" w:themeTint="FE" w:themeShade="95"/>
        <w:sz w:val="22"/>
      </w:rPr>
      <w:pPr>
        <w:pBdr/>
        <w:spacing/>
        <w:ind/>
      </w:pPr>
      <w:tblPr>
        <w:tblBorders/>
      </w:tblPr>
      <w:tcPr>
        <w:shd w:val="clear" w:color="ffffff" w:fill="ffffff" w:themeFill="light1"/>
        <w:tcBorders>
          <w:top w:val="single" w:color="9abb59"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2" w:customStyle="1">
    <w:name w:val="Grid Table 7 Colorful - Accent 4"/>
    <w:basedOn w:val="1078"/>
    <w:uiPriority w:val="99"/>
    <w:pPr>
      <w:pBdr/>
      <w:spacing/>
      <w:ind/>
    </w:pPr>
    <w:tblPr>
      <w:tblStyleRowBandSize w:val="1"/>
      <w:tblStyleColBandSize w:val="1"/>
      <w:tblCellMar>
        <w:left w:w="108" w:type="dxa"/>
        <w:top w:w="0" w:type="dxa"/>
        <w:right w:w="108" w:type="dxa"/>
        <w:bottom w:w="0" w:type="dxa"/>
      </w:tblCellMa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color w:val="674f84" w:themeColor="accent4" w:themeTint="9A" w:themeShade="95"/>
        <w:sz w:val="22"/>
      </w:rPr>
      <w:pPr>
        <w:pBdr/>
        <w:spacing/>
        <w:ind/>
      </w:pPr>
      <w:tblPr>
        <w:tblBorders/>
      </w:tblPr>
      <w:tcPr>
        <w:shd w:val="clear" w:color="e5dfec" w:fill="e5dfec" w:themeFill="accent4" w:themeFillTint="34"/>
        <w:tcBorders/>
      </w:tcPr>
    </w:tblStylePr>
    <w:tblStylePr w:type="band1Vert">
      <w:pPr>
        <w:pBdr/>
        <w:spacing/>
        <w:ind/>
      </w:pPr>
      <w:tblPr>
        <w:tblBorders/>
      </w:tblPr>
      <w:tcPr>
        <w:shd w:val="clear" w:color="e5dfec" w:fill="e5dfec" w:themeFill="accent4" w:themeFillTint="34"/>
        <w:tcBorders/>
      </w:tcPr>
    </w:tblStylePr>
    <w:tblStylePr w:type="band2Horz">
      <w:rPr>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674f84"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sz="4" w:space="0"/>
        </w:tcBorders>
      </w:tcPr>
    </w:tblStylePr>
    <w:tblStylePr w:type="firstRow">
      <w:rPr>
        <w:b/>
        <w:color w:val="674f84" w:themeColor="accent4" w:themeTint="9A" w:themeShade="95"/>
        <w:sz w:val="22"/>
      </w:rPr>
      <w:pPr>
        <w:pBdr/>
        <w:spacing/>
        <w:ind/>
      </w:pPr>
      <w:tblPr>
        <w:tblBorders/>
      </w:tblPr>
      <w:tcPr>
        <w:shd w:val="clear" w:color="ffffff" w:fill="ffffff" w:themeFill="light1"/>
        <w:tcBorders>
          <w:top w:val="none" w:color="000000" w:sz="4" w:space="0"/>
          <w:left w:val="none" w:color="000000" w:sz="4" w:space="0"/>
          <w:bottom w:val="single" w:color="b2a1c6" w:themeColor="accent4" w:sz="4" w:space="0"/>
          <w:right w:val="none" w:color="000000" w:sz="4" w:space="0"/>
        </w:tcBorders>
      </w:tcPr>
    </w:tblStylePr>
    <w:tblStylePr w:type="lastCol">
      <w:rPr>
        <w:i/>
        <w:color w:val="674f84" w:themeColor="accent4" w:themeTint="9A" w:themeShade="95"/>
        <w:sz w:val="22"/>
      </w:rPr>
      <w:pPr>
        <w:pBdr/>
        <w:spacing/>
        <w:ind/>
      </w:pPr>
      <w:tblPr>
        <w:tblBorders/>
      </w:tblPr>
      <w:tcPr>
        <w:shd w:val="clear" w:color="ffffff" w:fill="auto"/>
        <w:tcBorders>
          <w:top w:val="none" w:color="000000" w:sz="4" w:space="0"/>
          <w:left w:val="single" w:color="b2a1c6" w:themeColor="accent4" w:sz="4" w:space="0"/>
          <w:bottom w:val="none" w:color="000000" w:sz="4" w:space="0"/>
          <w:right w:val="none" w:color="000000" w:sz="4" w:space="0"/>
        </w:tcBorders>
      </w:tcPr>
    </w:tblStylePr>
    <w:tblStylePr w:type="lastRow">
      <w:rPr>
        <w:b/>
        <w:color w:val="674f84" w:themeColor="accent4" w:themeTint="9A" w:themeShade="95"/>
        <w:sz w:val="22"/>
      </w:rPr>
      <w:pPr>
        <w:pBdr/>
        <w:spacing/>
        <w:ind/>
      </w:pPr>
      <w:tblPr>
        <w:tblBorders/>
      </w:tblPr>
      <w:tcPr>
        <w:shd w:val="clear" w:color="ffffff" w:fill="ffffff" w:themeFill="light1"/>
        <w:tcBorders>
          <w:top w:val="single" w:color="b2a1c6"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3" w:customStyle="1">
    <w:name w:val="Grid Table 7 Colorful - Accent 5"/>
    <w:basedOn w:val="1078"/>
    <w:uiPriority w:val="99"/>
    <w:pPr>
      <w:pBdr/>
      <w:spacing/>
      <w:ind/>
    </w:pPr>
    <w:tblPr>
      <w:tblStyleRowBandSize w:val="1"/>
      <w:tblStyleColBandSize w:val="1"/>
      <w:tblCellMar>
        <w:left w:w="108" w:type="dxa"/>
        <w:top w:w="0" w:type="dxa"/>
        <w:right w:w="108" w:type="dxa"/>
        <w:bottom w:w="0" w:type="dxa"/>
      </w:tblCellMa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color w:val="266879" w:themeColor="accent5" w:themeShade="95"/>
        <w:sz w:val="22"/>
      </w:rPr>
      <w:pPr>
        <w:pBdr/>
        <w:spacing/>
        <w:ind/>
      </w:pPr>
      <w:tblPr>
        <w:tblBorders/>
      </w:tblPr>
      <w:tcPr>
        <w:shd w:val="clear" w:color="daeef3" w:fill="daeef3" w:themeFill="accent5" w:themeFillTint="34"/>
        <w:tcBorders/>
      </w:tcPr>
    </w:tblStylePr>
    <w:tblStylePr w:type="band1Vert">
      <w:pPr>
        <w:pBdr/>
        <w:spacing/>
        <w:ind/>
      </w:pPr>
      <w:tblPr>
        <w:tblBorders/>
      </w:tblPr>
      <w:tcPr>
        <w:shd w:val="clear" w:color="daeef3" w:fill="daeef3" w:themeFill="accent5" w:themeFillTint="34"/>
        <w:tcBorders/>
      </w:tcPr>
    </w:tblStylePr>
    <w:tblStylePr w:type="band2Horz">
      <w:rPr>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266879"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9d0de" w:themeColor="accent5" w:sz="4" w:space="0"/>
        </w:tcBorders>
      </w:tcPr>
    </w:tblStylePr>
    <w:tblStylePr w:type="firstRow">
      <w:rPr>
        <w:b/>
        <w:color w:val="266879" w:themeColor="accent5" w:themeShade="95"/>
        <w:sz w:val="22"/>
      </w:rPr>
      <w:pPr>
        <w:pBdr/>
        <w:spacing/>
        <w:ind/>
      </w:pPr>
      <w:tblPr>
        <w:tblBorders/>
      </w:tblPr>
      <w:tcPr>
        <w:shd w:val="clear" w:color="ffffff" w:fill="ffffff" w:themeFill="light1"/>
        <w:tcBorders>
          <w:top w:val="none" w:color="000000" w:sz="4" w:space="0"/>
          <w:left w:val="none" w:color="000000" w:sz="4" w:space="0"/>
          <w:bottom w:val="single" w:color="99d0de" w:themeColor="accent5" w:sz="4" w:space="0"/>
          <w:right w:val="none" w:color="000000" w:sz="4" w:space="0"/>
        </w:tcBorders>
      </w:tcPr>
    </w:tblStylePr>
    <w:tblStylePr w:type="lastCol">
      <w:rPr>
        <w:i/>
        <w:color w:val="266879" w:themeColor="accent5" w:themeShade="95"/>
        <w:sz w:val="22"/>
      </w:rPr>
      <w:pPr>
        <w:pBdr/>
        <w:spacing/>
        <w:ind/>
      </w:pPr>
      <w:tblPr>
        <w:tblBorders/>
      </w:tblPr>
      <w:tcPr>
        <w:shd w:val="clear" w:color="ffffff" w:fill="auto"/>
        <w:tcBorders>
          <w:top w:val="none" w:color="000000" w:sz="4" w:space="0"/>
          <w:left w:val="single" w:color="99d0de" w:themeColor="accent5" w:sz="4" w:space="0"/>
          <w:bottom w:val="none" w:color="000000" w:sz="4" w:space="0"/>
          <w:right w:val="none" w:color="000000" w:sz="4" w:space="0"/>
        </w:tcBorders>
      </w:tcPr>
    </w:tblStylePr>
    <w:tblStylePr w:type="lastRow">
      <w:rPr>
        <w:b/>
        <w:color w:val="266879" w:themeColor="accent5" w:themeShade="95"/>
        <w:sz w:val="22"/>
      </w:rPr>
      <w:pPr>
        <w:pBdr/>
        <w:spacing/>
        <w:ind/>
      </w:pPr>
      <w:tblPr>
        <w:tblBorders/>
      </w:tblPr>
      <w:tcPr>
        <w:shd w:val="clear" w:color="ffffff" w:fill="ffffff" w:themeFill="light1"/>
        <w:tcBorders>
          <w:top w:val="single" w:color="99d0de"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4" w:customStyle="1">
    <w:name w:val="Grid Table 7 Colorful - Accent 6"/>
    <w:basedOn w:val="1078"/>
    <w:uiPriority w:val="99"/>
    <w:pPr>
      <w:pBdr/>
      <w:spacing/>
      <w:ind/>
    </w:pPr>
    <w:tblPr>
      <w:tblStyleRowBandSize w:val="1"/>
      <w:tblStyleColBandSize w:val="1"/>
      <w:tblCellMar>
        <w:left w:w="108" w:type="dxa"/>
        <w:top w:w="0" w:type="dxa"/>
        <w:right w:w="108" w:type="dxa"/>
        <w:bottom w:w="0" w:type="dxa"/>
      </w:tblCellMa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color w:val="b25408" w:themeColor="accent6" w:themeShade="95"/>
        <w:sz w:val="22"/>
      </w:rPr>
      <w:pPr>
        <w:pBdr/>
        <w:spacing/>
        <w:ind/>
      </w:pPr>
      <w:tblPr>
        <w:tblBorders/>
      </w:tblPr>
      <w:tcPr>
        <w:shd w:val="clear" w:color="fde9d8" w:fill="fde9d8" w:themeFill="accent6" w:themeFillTint="34"/>
        <w:tcBorders/>
      </w:tcPr>
    </w:tblStylePr>
    <w:tblStylePr w:type="band1Vert">
      <w:pPr>
        <w:pBdr/>
        <w:spacing/>
        <w:ind/>
      </w:pPr>
      <w:tblPr>
        <w:tblBorders/>
      </w:tblPr>
      <w:tcPr>
        <w:shd w:val="clear" w:color="fde9d8" w:fill="fde9d8" w:themeFill="accent6" w:themeFillTint="34"/>
        <w:tcBorders/>
      </w:tcPr>
    </w:tblStylePr>
    <w:tblStylePr w:type="band2Horz">
      <w:rPr>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b25408"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396" w:themeColor="accent6" w:sz="4" w:space="0"/>
        </w:tcBorders>
      </w:tcPr>
    </w:tblStylePr>
    <w:tblStylePr w:type="firstRow">
      <w:rPr>
        <w:b/>
        <w:color w:val="b25408" w:themeColor="accent6" w:themeShade="95"/>
        <w:sz w:val="22"/>
      </w:rPr>
      <w:pPr>
        <w:pBdr/>
        <w:spacing/>
        <w:ind/>
      </w:pPr>
      <w:tblPr>
        <w:tblBorders/>
      </w:tblPr>
      <w:tcPr>
        <w:shd w:val="clear" w:color="ffffff" w:fill="ffffff" w:themeFill="light1"/>
        <w:tcBorders>
          <w:top w:val="none" w:color="000000" w:sz="4" w:space="0"/>
          <w:left w:val="none" w:color="000000" w:sz="4" w:space="0"/>
          <w:bottom w:val="single" w:color="fac396" w:themeColor="accent6" w:sz="4" w:space="0"/>
          <w:right w:val="none" w:color="000000" w:sz="4" w:space="0"/>
        </w:tcBorders>
      </w:tcPr>
    </w:tblStylePr>
    <w:tblStylePr w:type="lastCol">
      <w:rPr>
        <w:i/>
        <w:color w:val="b25408" w:themeColor="accent6" w:themeShade="95"/>
        <w:sz w:val="22"/>
      </w:rPr>
      <w:pPr>
        <w:pBdr/>
        <w:spacing/>
        <w:ind/>
      </w:pPr>
      <w:tblPr>
        <w:tblBorders/>
      </w:tblPr>
      <w:tcPr>
        <w:shd w:val="clear" w:color="ffffff" w:fill="auto"/>
        <w:tcBorders>
          <w:top w:val="none" w:color="000000" w:sz="4" w:space="0"/>
          <w:left w:val="single" w:color="fac396" w:themeColor="accent6" w:sz="4" w:space="0"/>
          <w:bottom w:val="none" w:color="000000" w:sz="4" w:space="0"/>
          <w:right w:val="none" w:color="000000" w:sz="4" w:space="0"/>
        </w:tcBorders>
      </w:tcPr>
    </w:tblStylePr>
    <w:tblStylePr w:type="lastRow">
      <w:rPr>
        <w:b/>
        <w:color w:val="b25408" w:themeColor="accent6" w:themeShade="95"/>
        <w:sz w:val="22"/>
      </w:rPr>
      <w:pPr>
        <w:pBdr/>
        <w:spacing/>
        <w:ind/>
      </w:pPr>
      <w:tblPr>
        <w:tblBorders/>
      </w:tblPr>
      <w:tcPr>
        <w:shd w:val="clear" w:color="ffffff" w:fill="ffffff" w:themeFill="light1"/>
        <w:tcBorders>
          <w:top w:val="single" w:color="fac39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5" w:customStyle="1">
    <w:name w:val="List Table 1 Light"/>
    <w:basedOn w:val="1078"/>
    <w:uiPriority w:val="99"/>
    <w:pPr>
      <w:pBdr/>
      <w:spacing/>
      <w:ind/>
    </w:pPr>
    <w:tblPr>
      <w:tblStyleRowBandSize w:val="1"/>
      <w:tblStyleColBandSize w:val="1"/>
      <w:tblCellMar>
        <w:left w:w="108" w:type="dxa"/>
        <w:top w:w="0" w:type="dxa"/>
        <w:right w:w="108" w:type="dxa"/>
        <w:bottom w:w="0" w:type="dxa"/>
      </w:tblCellMar>
      <w:tblBorders/>
    </w:tblPr>
    <w:tcPr>
      <w:tcBorders/>
    </w:tcPr>
    <w:tblStylePr w:type="band1Horz">
      <w:pPr>
        <w:pBdr/>
        <w:spacing/>
        <w:ind/>
      </w:pPr>
      <w:tblPr>
        <w:tblBorders/>
      </w:tblPr>
      <w:tcPr>
        <w:shd w:val="clear" w:color="bfbfbf" w:fill="bfbfbf" w:themeFill="text1" w:themeFillTint="40"/>
        <w:tcBorders/>
      </w:tcPr>
    </w:tblStylePr>
    <w:tblStylePr w:type="band1Vert">
      <w:pPr>
        <w:pBdr/>
        <w:spacing/>
        <w:ind/>
      </w:pPr>
      <w:tblPr>
        <w:tblBorders/>
      </w:tblPr>
      <w:tcPr>
        <w:shd w:val="clear" w:color="bfbfbf"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6" w:customStyle="1">
    <w:name w:val="List Table 1 Light Accent 1"/>
    <w:basedOn w:val="1078"/>
    <w:uiPriority w:val="99"/>
    <w:pPr>
      <w:pBdr/>
      <w:spacing/>
      <w:ind/>
    </w:pPr>
    <w:tblPr>
      <w:tblStyleRowBandSize w:val="1"/>
      <w:tblStyleColBandSize w:val="1"/>
      <w:tblCellMar>
        <w:left w:w="108" w:type="dxa"/>
        <w:top w:w="0" w:type="dxa"/>
        <w:right w:w="108" w:type="dxa"/>
        <w:bottom w:w="0" w:type="dxa"/>
      </w:tblCellMar>
      <w:tblBorders/>
    </w:tblPr>
    <w:tcPr>
      <w:tcBorders/>
    </w:tcPr>
    <w:tblStylePr w:type="band1Horz">
      <w:pPr>
        <w:pBdr/>
        <w:spacing/>
        <w:ind/>
      </w:pPr>
      <w:tblPr>
        <w:tblBorders/>
      </w:tblPr>
      <w:tcPr>
        <w:shd w:val="clear" w:color="d2dfee" w:fill="d2dfee" w:themeFill="accent1" w:themeFillTint="40"/>
        <w:tcBorders/>
      </w:tcPr>
    </w:tblStylePr>
    <w:tblStylePr w:type="band1Vert">
      <w:pPr>
        <w:pBdr/>
        <w:spacing/>
        <w:ind/>
      </w:pPr>
      <w:tblPr>
        <w:tblBorders/>
      </w:tblPr>
      <w:tcPr>
        <w:shd w:val="clear" w:color="d2dfee"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4f81bd" w:themeColor="accent1"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7" w:customStyle="1">
    <w:name w:val="List Table 1 Light Accent 2"/>
    <w:basedOn w:val="1078"/>
    <w:uiPriority w:val="99"/>
    <w:pPr>
      <w:pBdr/>
      <w:spacing/>
      <w:ind/>
    </w:pPr>
    <w:tblPr>
      <w:tblStyleRowBandSize w:val="1"/>
      <w:tblStyleColBandSize w:val="1"/>
      <w:tblCellMar>
        <w:left w:w="108" w:type="dxa"/>
        <w:top w:w="0" w:type="dxa"/>
        <w:right w:w="108" w:type="dxa"/>
        <w:bottom w:w="0" w:type="dxa"/>
      </w:tblCellMar>
      <w:tblBorders/>
    </w:tblPr>
    <w:tcPr>
      <w:tcBorders/>
    </w:tcPr>
    <w:tblStylePr w:type="band1Horz">
      <w:pPr>
        <w:pBdr/>
        <w:spacing/>
        <w:ind/>
      </w:pPr>
      <w:tblPr>
        <w:tblBorders/>
      </w:tblPr>
      <w:tcPr>
        <w:shd w:val="clear" w:color="efd2d2" w:fill="efd2d2" w:themeFill="accent2" w:themeFillTint="40"/>
        <w:tcBorders/>
      </w:tcPr>
    </w:tblStylePr>
    <w:tblStylePr w:type="band1Vert">
      <w:pPr>
        <w:pBdr/>
        <w:spacing/>
        <w:ind/>
      </w:pPr>
      <w:tblPr>
        <w:tblBorders/>
      </w:tblPr>
      <w:tcPr>
        <w:shd w:val="clear" w:color="efd2d2"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c0504d" w:themeColor="accent2"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c0504d"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8" w:customStyle="1">
    <w:name w:val="List Table 1 Light Accent 3"/>
    <w:basedOn w:val="1078"/>
    <w:uiPriority w:val="99"/>
    <w:pPr>
      <w:pBdr/>
      <w:spacing/>
      <w:ind/>
    </w:pPr>
    <w:tblPr>
      <w:tblStyleRowBandSize w:val="1"/>
      <w:tblStyleColBandSize w:val="1"/>
      <w:tblCellMar>
        <w:left w:w="108" w:type="dxa"/>
        <w:top w:w="0" w:type="dxa"/>
        <w:right w:w="108" w:type="dxa"/>
        <w:bottom w:w="0" w:type="dxa"/>
      </w:tblCellMar>
      <w:tblBorders/>
    </w:tblPr>
    <w:tcPr>
      <w:tcBorders/>
    </w:tcPr>
    <w:tblStylePr w:type="band1Horz">
      <w:pPr>
        <w:pBdr/>
        <w:spacing/>
        <w:ind/>
      </w:pPr>
      <w:tblPr>
        <w:tblBorders/>
      </w:tblPr>
      <w:tcPr>
        <w:shd w:val="clear" w:color="e5eed5" w:fill="e5eed5" w:themeFill="accent3" w:themeFillTint="40"/>
        <w:tcBorders/>
      </w:tcPr>
    </w:tblStylePr>
    <w:tblStylePr w:type="band1Vert">
      <w:pPr>
        <w:pBdr/>
        <w:spacing/>
        <w:ind/>
      </w:pPr>
      <w:tblPr>
        <w:tblBorders/>
      </w:tblPr>
      <w:tcPr>
        <w:shd w:val="clear" w:color="e5eed5"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9bbb59" w:themeColor="accent3"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9bbb59"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9" w:customStyle="1">
    <w:name w:val="List Table 1 Light Accent 4"/>
    <w:basedOn w:val="1078"/>
    <w:uiPriority w:val="99"/>
    <w:pPr>
      <w:pBdr/>
      <w:spacing/>
      <w:ind/>
    </w:pPr>
    <w:tblPr>
      <w:tblStyleRowBandSize w:val="1"/>
      <w:tblStyleColBandSize w:val="1"/>
      <w:tblCellMar>
        <w:left w:w="108" w:type="dxa"/>
        <w:top w:w="0" w:type="dxa"/>
        <w:right w:w="108" w:type="dxa"/>
        <w:bottom w:w="0" w:type="dxa"/>
      </w:tblCellMar>
      <w:tblBorders/>
    </w:tblPr>
    <w:tcPr>
      <w:tcBorders/>
    </w:tcPr>
    <w:tblStylePr w:type="band1Horz">
      <w:pPr>
        <w:pBdr/>
        <w:spacing/>
        <w:ind/>
      </w:pPr>
      <w:tblPr>
        <w:tblBorders/>
      </w:tblPr>
      <w:tcPr>
        <w:shd w:val="clear" w:color="dfd8e7" w:fill="dfd8e7" w:themeFill="accent4" w:themeFillTint="40"/>
        <w:tcBorders/>
      </w:tcPr>
    </w:tblStylePr>
    <w:tblStylePr w:type="band1Vert">
      <w:pPr>
        <w:pBdr/>
        <w:spacing/>
        <w:ind/>
      </w:pPr>
      <w:tblPr>
        <w:tblBorders/>
      </w:tblPr>
      <w:tcPr>
        <w:shd w:val="clear" w:color="dfd8e7"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8064a2" w:themeColor="accent4"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8064a2"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0" w:customStyle="1">
    <w:name w:val="List Table 1 Light Accent 5"/>
    <w:basedOn w:val="1078"/>
    <w:uiPriority w:val="99"/>
    <w:pPr>
      <w:pBdr/>
      <w:spacing/>
      <w:ind/>
    </w:pPr>
    <w:tblPr>
      <w:tblStyleRowBandSize w:val="1"/>
      <w:tblStyleColBandSize w:val="1"/>
      <w:tblCellMar>
        <w:left w:w="108" w:type="dxa"/>
        <w:top w:w="0" w:type="dxa"/>
        <w:right w:w="108" w:type="dxa"/>
        <w:bottom w:w="0" w:type="dxa"/>
      </w:tblCellMar>
      <w:tblBorders/>
    </w:tblPr>
    <w:tcPr>
      <w:tcBorders/>
    </w:tcPr>
    <w:tblStylePr w:type="band1Horz">
      <w:pPr>
        <w:pBdr/>
        <w:spacing/>
        <w:ind/>
      </w:pPr>
      <w:tblPr>
        <w:tblBorders/>
      </w:tblPr>
      <w:tcPr>
        <w:shd w:val="clear" w:color="d1eaf0" w:fill="d1eaf0" w:themeFill="accent5" w:themeFillTint="40"/>
        <w:tcBorders/>
      </w:tcPr>
    </w:tblStylePr>
    <w:tblStylePr w:type="band1Vert">
      <w:pPr>
        <w:pBdr/>
        <w:spacing/>
        <w:ind/>
      </w:pPr>
      <w:tblPr>
        <w:tblBorders/>
      </w:tblPr>
      <w:tcPr>
        <w:shd w:val="clear" w:color="d1eaf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4bacc6" w:themeColor="accent5"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1" w:customStyle="1">
    <w:name w:val="List Table 1 Light Accent 6"/>
    <w:basedOn w:val="1078"/>
    <w:uiPriority w:val="99"/>
    <w:pPr>
      <w:pBdr/>
      <w:spacing/>
      <w:ind/>
    </w:pPr>
    <w:tblPr>
      <w:tblStyleRowBandSize w:val="1"/>
      <w:tblStyleColBandSize w:val="1"/>
      <w:tblCellMar>
        <w:left w:w="108" w:type="dxa"/>
        <w:top w:w="0" w:type="dxa"/>
        <w:right w:w="108" w:type="dxa"/>
        <w:bottom w:w="0" w:type="dxa"/>
      </w:tblCellMar>
      <w:tblBorders/>
    </w:tblPr>
    <w:tcPr>
      <w:tcBorders/>
    </w:tcPr>
    <w:tblStylePr w:type="band1Horz">
      <w:pPr>
        <w:pBdr/>
        <w:spacing/>
        <w:ind/>
      </w:pPr>
      <w:tblPr>
        <w:tblBorders/>
      </w:tblPr>
      <w:tcPr>
        <w:shd w:val="clear" w:color="fde4d0" w:fill="fde4d0" w:themeFill="accent6" w:themeFillTint="40"/>
        <w:tcBorders/>
      </w:tcPr>
    </w:tblStylePr>
    <w:tblStylePr w:type="band1Vert">
      <w:pPr>
        <w:pBdr/>
        <w:spacing/>
        <w:ind/>
      </w:pPr>
      <w:tblPr>
        <w:tblBorders/>
      </w:tblPr>
      <w:tcPr>
        <w:shd w:val="clear" w:color="fde4d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f79646" w:themeColor="accent6"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2" w:customStyle="1">
    <w:name w:val="List Table 2"/>
    <w:basedOn w:val="1078"/>
    <w:uiPriority w:val="99"/>
    <w:pPr>
      <w:pBdr/>
      <w:spacing/>
      <w:ind/>
    </w:pPr>
    <w:tblPr>
      <w:tblStyleRowBandSize w:val="1"/>
      <w:tblStyleColBandSize w:val="1"/>
      <w:tblCellMar>
        <w:left w:w="108" w:type="dxa"/>
        <w:top w:w="0" w:type="dxa"/>
        <w:right w:w="108" w:type="dxa"/>
        <w:bottom w:w="0" w:type="dxa"/>
      </w:tblCellMar>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sz w:val="22"/>
      </w:rPr>
      <w:pPr>
        <w:pBdr/>
        <w:spacing/>
        <w:ind/>
      </w:pPr>
      <w:tblPr>
        <w:tblBorders/>
      </w:tblPr>
      <w:tcPr>
        <w:shd w:val="clear" w:color="bfbfbf" w:fill="bfbfbf" w:themeFill="text1" w:themeFillTint="40"/>
        <w:tcBorders/>
      </w:tcPr>
    </w:tblStylePr>
    <w:tblStylePr w:type="band1Vert">
      <w:rPr>
        <w:sz w:val="22"/>
      </w:rPr>
      <w:pPr>
        <w:pBdr/>
        <w:spacing/>
        <w:ind/>
      </w:pPr>
      <w:tblPr>
        <w:tblBorders/>
      </w:tblPr>
      <w:tcPr>
        <w:shd w:val="clear" w:color="bfbfbf"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6f6f6f" w:themeColor="text1" w:sz="4" w:space="0"/>
          <w:left w:val="none" w:color="000000" w:sz="4" w:space="0"/>
          <w:bottom w:val="single" w:color="6f6f6f" w:themeColor="text1"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6f6f6f" w:themeColor="text1" w:sz="4" w:space="0"/>
          <w:left w:val="none" w:color="000000" w:sz="4" w:space="0"/>
          <w:bottom w:val="single" w:color="6f6f6f" w:themeColor="text1"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3" w:customStyle="1">
    <w:name w:val="List Table 2 Accent 1"/>
    <w:basedOn w:val="1078"/>
    <w:uiPriority w:val="99"/>
    <w:pPr>
      <w:pBdr/>
      <w:spacing/>
      <w:ind/>
    </w:pPr>
    <w:tblPr>
      <w:tblStyleRowBandSize w:val="1"/>
      <w:tblStyleColBandSize w:val="1"/>
      <w:tblCellMar>
        <w:left w:w="108" w:type="dxa"/>
        <w:top w:w="0" w:type="dxa"/>
        <w:right w:w="108" w:type="dxa"/>
        <w:bottom w:w="0" w:type="dxa"/>
      </w:tblCellMar>
      <w:tblBorders>
        <w:top w:val="single" w:color="9bb7d9" w:themeColor="accent1" w:themeTint="90" w:sz="4" w:space="0"/>
        <w:bottom w:val="single" w:color="9bb7d9" w:themeColor="accent1" w:themeTint="90" w:sz="4" w:space="0"/>
        <w:insideH w:val="single" w:color="9bb7d9" w:themeColor="accent1" w:themeTint="90" w:sz="4" w:space="0"/>
      </w:tblBorders>
    </w:tblPr>
    <w:tcPr>
      <w:tcBorders/>
    </w:tcPr>
    <w:tblStylePr w:type="band1Horz">
      <w:rPr>
        <w:sz w:val="22"/>
      </w:rPr>
      <w:pPr>
        <w:pBdr/>
        <w:spacing/>
        <w:ind/>
      </w:pPr>
      <w:tblPr>
        <w:tblBorders/>
      </w:tblPr>
      <w:tcPr>
        <w:shd w:val="clear" w:color="d2dfee" w:fill="d2dfee" w:themeFill="accent1" w:themeFillTint="40"/>
        <w:tcBorders/>
      </w:tcPr>
    </w:tblStylePr>
    <w:tblStylePr w:type="band1Vert">
      <w:rPr>
        <w:sz w:val="22"/>
      </w:rPr>
      <w:pPr>
        <w:pBdr/>
        <w:spacing/>
        <w:ind/>
      </w:pPr>
      <w:tblPr>
        <w:tblBorders/>
      </w:tblPr>
      <w:tcPr>
        <w:shd w:val="clear" w:color="d2dfee"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9bb7d9" w:themeColor="accent1" w:sz="4" w:space="0"/>
          <w:left w:val="none" w:color="000000" w:sz="4" w:space="0"/>
          <w:bottom w:val="single" w:color="9bb7d9" w:themeColor="accent1"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9bb7d9" w:themeColor="accent1" w:sz="4" w:space="0"/>
          <w:left w:val="none" w:color="000000" w:sz="4" w:space="0"/>
          <w:bottom w:val="single" w:color="9bb7d9" w:themeColor="accent1"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4" w:customStyle="1">
    <w:name w:val="List Table 2 Accent 2"/>
    <w:basedOn w:val="1078"/>
    <w:uiPriority w:val="99"/>
    <w:pPr>
      <w:pBdr/>
      <w:spacing/>
      <w:ind/>
    </w:pPr>
    <w:tblPr>
      <w:tblStyleRowBandSize w:val="1"/>
      <w:tblStyleColBandSize w:val="1"/>
      <w:tblCellMar>
        <w:left w:w="108" w:type="dxa"/>
        <w:top w:w="0" w:type="dxa"/>
        <w:right w:w="108" w:type="dxa"/>
        <w:bottom w:w="0" w:type="dxa"/>
      </w:tblCellMar>
      <w:tblBorders>
        <w:top w:val="single" w:color="db9b9a" w:themeColor="accent2" w:themeTint="90" w:sz="4" w:space="0"/>
        <w:bottom w:val="single" w:color="db9b9a" w:themeColor="accent2" w:themeTint="90" w:sz="4" w:space="0"/>
        <w:insideH w:val="single" w:color="db9b9a" w:themeColor="accent2" w:themeTint="90" w:sz="4" w:space="0"/>
      </w:tblBorders>
    </w:tblPr>
    <w:tcPr>
      <w:tcBorders/>
    </w:tcPr>
    <w:tblStylePr w:type="band1Horz">
      <w:rPr>
        <w:sz w:val="22"/>
      </w:rPr>
      <w:pPr>
        <w:pBdr/>
        <w:spacing/>
        <w:ind/>
      </w:pPr>
      <w:tblPr>
        <w:tblBorders/>
      </w:tblPr>
      <w:tcPr>
        <w:shd w:val="clear" w:color="efd2d2" w:fill="efd2d2" w:themeFill="accent2" w:themeFillTint="40"/>
        <w:tcBorders/>
      </w:tcPr>
    </w:tblStylePr>
    <w:tblStylePr w:type="band1Vert">
      <w:rPr>
        <w:sz w:val="22"/>
      </w:rPr>
      <w:pPr>
        <w:pBdr/>
        <w:spacing/>
        <w:ind/>
      </w:pPr>
      <w:tblPr>
        <w:tblBorders/>
      </w:tblPr>
      <w:tcPr>
        <w:shd w:val="clear" w:color="efd2d2"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db9b9a" w:themeColor="accent2" w:sz="4" w:space="0"/>
          <w:left w:val="none" w:color="000000" w:sz="4" w:space="0"/>
          <w:bottom w:val="single" w:color="db9b9a" w:themeColor="accent2"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db9b9a" w:themeColor="accent2" w:sz="4" w:space="0"/>
          <w:left w:val="none" w:color="000000" w:sz="4" w:space="0"/>
          <w:bottom w:val="single" w:color="db9b9a" w:themeColor="accent2"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5" w:customStyle="1">
    <w:name w:val="List Table 2 Accent 3"/>
    <w:basedOn w:val="1078"/>
    <w:uiPriority w:val="99"/>
    <w:pPr>
      <w:pBdr/>
      <w:spacing/>
      <w:ind/>
    </w:pPr>
    <w:tblPr>
      <w:tblStyleRowBandSize w:val="1"/>
      <w:tblStyleColBandSize w:val="1"/>
      <w:tblCellMar>
        <w:left w:w="108" w:type="dxa"/>
        <w:top w:w="0" w:type="dxa"/>
        <w:right w:w="108" w:type="dxa"/>
        <w:bottom w:w="0" w:type="dxa"/>
      </w:tblCellMar>
      <w:tblBorders>
        <w:top w:val="single" w:color="c6d8a1" w:themeColor="accent3" w:themeTint="90" w:sz="4" w:space="0"/>
        <w:bottom w:val="single" w:color="c6d8a1" w:themeColor="accent3" w:themeTint="90" w:sz="4" w:space="0"/>
        <w:insideH w:val="single" w:color="c6d8a1" w:themeColor="accent3" w:themeTint="90" w:sz="4" w:space="0"/>
      </w:tblBorders>
    </w:tblPr>
    <w:tcPr>
      <w:tcBorders/>
    </w:tcPr>
    <w:tblStylePr w:type="band1Horz">
      <w:rPr>
        <w:sz w:val="22"/>
      </w:rPr>
      <w:pPr>
        <w:pBdr/>
        <w:spacing/>
        <w:ind/>
      </w:pPr>
      <w:tblPr>
        <w:tblBorders/>
      </w:tblPr>
      <w:tcPr>
        <w:shd w:val="clear" w:color="e5eed5" w:fill="e5eed5" w:themeFill="accent3" w:themeFillTint="40"/>
        <w:tcBorders/>
      </w:tcPr>
    </w:tblStylePr>
    <w:tblStylePr w:type="band1Vert">
      <w:rPr>
        <w:sz w:val="22"/>
      </w:rPr>
      <w:pPr>
        <w:pBdr/>
        <w:spacing/>
        <w:ind/>
      </w:pPr>
      <w:tblPr>
        <w:tblBorders/>
      </w:tblPr>
      <w:tcPr>
        <w:shd w:val="clear" w:color="e5eed5"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c6d8a1" w:themeColor="accent3" w:sz="4" w:space="0"/>
          <w:left w:val="none" w:color="000000" w:sz="4" w:space="0"/>
          <w:bottom w:val="single" w:color="c6d8a1" w:themeColor="accent3"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c6d8a1" w:themeColor="accent3" w:sz="4" w:space="0"/>
          <w:left w:val="none" w:color="000000" w:sz="4" w:space="0"/>
          <w:bottom w:val="single" w:color="c6d8a1" w:themeColor="accent3"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6" w:customStyle="1">
    <w:name w:val="List Table 2 Accent 4"/>
    <w:basedOn w:val="1078"/>
    <w:uiPriority w:val="99"/>
    <w:pPr>
      <w:pBdr/>
      <w:spacing/>
      <w:ind/>
    </w:pPr>
    <w:tblPr>
      <w:tblStyleRowBandSize w:val="1"/>
      <w:tblStyleColBandSize w:val="1"/>
      <w:tblCellMar>
        <w:left w:w="108" w:type="dxa"/>
        <w:top w:w="0" w:type="dxa"/>
        <w:right w:w="108" w:type="dxa"/>
        <w:bottom w:w="0" w:type="dxa"/>
      </w:tblCellMar>
      <w:tblBorders>
        <w:top w:val="single" w:color="b7a7ca" w:themeColor="accent4" w:themeTint="90" w:sz="4" w:space="0"/>
        <w:bottom w:val="single" w:color="b7a7ca" w:themeColor="accent4" w:themeTint="90" w:sz="4" w:space="0"/>
        <w:insideH w:val="single" w:color="b7a7ca" w:themeColor="accent4" w:themeTint="90" w:sz="4" w:space="0"/>
      </w:tblBorders>
    </w:tblPr>
    <w:tcPr>
      <w:tcBorders/>
    </w:tcPr>
    <w:tblStylePr w:type="band1Horz">
      <w:rPr>
        <w:sz w:val="22"/>
      </w:rPr>
      <w:pPr>
        <w:pBdr/>
        <w:spacing/>
        <w:ind/>
      </w:pPr>
      <w:tblPr>
        <w:tblBorders/>
      </w:tblPr>
      <w:tcPr>
        <w:shd w:val="clear" w:color="dfd8e7" w:fill="dfd8e7" w:themeFill="accent4" w:themeFillTint="40"/>
        <w:tcBorders/>
      </w:tcPr>
    </w:tblStylePr>
    <w:tblStylePr w:type="band1Vert">
      <w:rPr>
        <w:sz w:val="22"/>
      </w:rPr>
      <w:pPr>
        <w:pBdr/>
        <w:spacing/>
        <w:ind/>
      </w:pPr>
      <w:tblPr>
        <w:tblBorders/>
      </w:tblPr>
      <w:tcPr>
        <w:shd w:val="clear" w:color="dfd8e7"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b7a7ca" w:themeColor="accent4" w:sz="4" w:space="0"/>
          <w:left w:val="none" w:color="000000" w:sz="4" w:space="0"/>
          <w:bottom w:val="single" w:color="b7a7ca" w:themeColor="accent4"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b7a7ca" w:themeColor="accent4" w:sz="4" w:space="0"/>
          <w:left w:val="none" w:color="000000" w:sz="4" w:space="0"/>
          <w:bottom w:val="single" w:color="b7a7ca" w:themeColor="accent4"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7" w:customStyle="1">
    <w:name w:val="List Table 2 Accent 5"/>
    <w:basedOn w:val="1078"/>
    <w:uiPriority w:val="99"/>
    <w:pPr>
      <w:pBdr/>
      <w:spacing/>
      <w:ind/>
    </w:pPr>
    <w:tblPr>
      <w:tblStyleRowBandSize w:val="1"/>
      <w:tblStyleColBandSize w:val="1"/>
      <w:tblCellMar>
        <w:left w:w="108" w:type="dxa"/>
        <w:top w:w="0" w:type="dxa"/>
        <w:right w:w="108" w:type="dxa"/>
        <w:bottom w:w="0" w:type="dxa"/>
      </w:tblCellMar>
      <w:tblBorders>
        <w:top w:val="single" w:color="99d0de" w:themeColor="accent5" w:themeTint="90" w:sz="4" w:space="0"/>
        <w:bottom w:val="single" w:color="99d0de" w:themeColor="accent5" w:themeTint="90" w:sz="4" w:space="0"/>
        <w:insideH w:val="single" w:color="99d0de" w:themeColor="accent5" w:themeTint="90" w:sz="4" w:space="0"/>
      </w:tblBorders>
    </w:tblPr>
    <w:tcPr>
      <w:tcBorders/>
    </w:tcPr>
    <w:tblStylePr w:type="band1Horz">
      <w:rPr>
        <w:sz w:val="22"/>
      </w:rPr>
      <w:pPr>
        <w:pBdr/>
        <w:spacing/>
        <w:ind/>
      </w:pPr>
      <w:tblPr>
        <w:tblBorders/>
      </w:tblPr>
      <w:tcPr>
        <w:shd w:val="clear" w:color="d1eaf0" w:fill="d1eaf0" w:themeFill="accent5" w:themeFillTint="40"/>
        <w:tcBorders/>
      </w:tcPr>
    </w:tblStylePr>
    <w:tblStylePr w:type="band1Vert">
      <w:rPr>
        <w:sz w:val="22"/>
      </w:rPr>
      <w:pPr>
        <w:pBdr/>
        <w:spacing/>
        <w:ind/>
      </w:pPr>
      <w:tblPr>
        <w:tblBorders/>
      </w:tblPr>
      <w:tcPr>
        <w:shd w:val="clear" w:color="d1eaf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99d0de" w:themeColor="accent5" w:sz="4" w:space="0"/>
          <w:left w:val="none" w:color="000000" w:sz="4" w:space="0"/>
          <w:bottom w:val="single" w:color="99d0de" w:themeColor="accent5"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99d0de" w:themeColor="accent5" w:sz="4" w:space="0"/>
          <w:left w:val="none" w:color="000000" w:sz="4" w:space="0"/>
          <w:bottom w:val="single" w:color="99d0de" w:themeColor="accent5"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8" w:customStyle="1">
    <w:name w:val="List Table 2 Accent 6"/>
    <w:basedOn w:val="1078"/>
    <w:uiPriority w:val="99"/>
    <w:pPr>
      <w:pBdr/>
      <w:spacing/>
      <w:ind/>
    </w:pPr>
    <w:tblPr>
      <w:tblStyleRowBandSize w:val="1"/>
      <w:tblStyleColBandSize w:val="1"/>
      <w:tblCellMar>
        <w:left w:w="108" w:type="dxa"/>
        <w:top w:w="0" w:type="dxa"/>
        <w:right w:w="108" w:type="dxa"/>
        <w:bottom w:w="0" w:type="dxa"/>
      </w:tblCellMar>
      <w:tblBorders>
        <w:top w:val="single" w:color="fac396" w:themeColor="accent6" w:themeTint="90" w:sz="4" w:space="0"/>
        <w:bottom w:val="single" w:color="fac396" w:themeColor="accent6" w:themeTint="90" w:sz="4" w:space="0"/>
        <w:insideH w:val="single" w:color="fac396" w:themeColor="accent6" w:themeTint="90" w:sz="4" w:space="0"/>
      </w:tblBorders>
    </w:tblPr>
    <w:tcPr>
      <w:tcBorders/>
    </w:tcPr>
    <w:tblStylePr w:type="band1Horz">
      <w:rPr>
        <w:sz w:val="22"/>
      </w:rPr>
      <w:pPr>
        <w:pBdr/>
        <w:spacing/>
        <w:ind/>
      </w:pPr>
      <w:tblPr>
        <w:tblBorders/>
      </w:tblPr>
      <w:tcPr>
        <w:shd w:val="clear" w:color="fde4d0" w:fill="fde4d0" w:themeFill="accent6" w:themeFillTint="40"/>
        <w:tcBorders/>
      </w:tcPr>
    </w:tblStylePr>
    <w:tblStylePr w:type="band1Vert">
      <w:rPr>
        <w:sz w:val="22"/>
      </w:rPr>
      <w:pPr>
        <w:pBdr/>
        <w:spacing/>
        <w:ind/>
      </w:pPr>
      <w:tblPr>
        <w:tblBorders/>
      </w:tblPr>
      <w:tcPr>
        <w:shd w:val="clear" w:color="fde4d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fac396" w:themeColor="accent6" w:sz="4" w:space="0"/>
          <w:left w:val="none" w:color="000000" w:sz="4" w:space="0"/>
          <w:bottom w:val="single" w:color="fac396" w:themeColor="accent6"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fac396" w:themeColor="accent6" w:sz="4" w:space="0"/>
          <w:left w:val="none" w:color="000000" w:sz="4" w:space="0"/>
          <w:bottom w:val="single" w:color="fac396" w:themeColor="accent6"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9" w:customStyle="1">
    <w:name w:val="List Table 3"/>
    <w:basedOn w:val="1078"/>
    <w:uiPriority w:val="99"/>
    <w:pPr>
      <w:pBdr/>
      <w:spacing/>
      <w:ind/>
    </w:pPr>
    <w:tblPr>
      <w:tblStyleRowBandSize w:val="1"/>
      <w:tblStyleColBandSize w:val="1"/>
      <w:tblCellMar>
        <w:left w:w="108" w:type="dxa"/>
        <w:top w:w="0" w:type="dxa"/>
        <w:right w:w="108" w:type="dxa"/>
        <w:bottom w:w="0" w:type="dxa"/>
      </w:tblCellMar>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sz w:val="22"/>
      </w:rPr>
      <w:pPr>
        <w:pBdr/>
        <w:spacing/>
        <w:ind/>
      </w:pPr>
      <w:tblPr>
        <w:tblBorders/>
      </w:tblPr>
      <w:tcPr>
        <w:tcBorders>
          <w:top w:val="single" w:color="000000" w:themeColor="text1" w:sz="4" w:space="0"/>
          <w:bottom w:val="single" w:color="000000" w:themeColor="text1" w:sz="4" w:space="0"/>
        </w:tcBorders>
      </w:tcPr>
    </w:tblStylePr>
    <w:tblStylePr w:type="band1Vert">
      <w:rPr>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000000" w:fill="000000" w:themeFill="text1"/>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0" w:customStyle="1">
    <w:name w:val="List Table 3 Accent 1"/>
    <w:basedOn w:val="1078"/>
    <w:uiPriority w:val="99"/>
    <w:pPr>
      <w:pBdr/>
      <w:spacing/>
      <w:ind/>
    </w:pPr>
    <w:tblPr>
      <w:tblStyleRowBandSize w:val="1"/>
      <w:tblStyleColBandSize w:val="1"/>
      <w:tblCellMar>
        <w:left w:w="108" w:type="dxa"/>
        <w:top w:w="0" w:type="dxa"/>
        <w:right w:w="108" w:type="dxa"/>
        <w:bottom w:w="0" w:type="dxa"/>
      </w:tblCellMa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cPr>
      <w:tcBorders/>
    </w:tcPr>
    <w:tblStylePr w:type="band1Horz">
      <w:rPr>
        <w:sz w:val="22"/>
      </w:rPr>
      <w:pPr>
        <w:pBdr/>
        <w:spacing/>
        <w:ind/>
      </w:pPr>
      <w:tblPr>
        <w:tblBorders/>
      </w:tblPr>
      <w:tcPr>
        <w:tcBorders>
          <w:top w:val="single" w:color="4f81bd" w:themeColor="accent1" w:sz="4" w:space="0"/>
          <w:bottom w:val="single" w:color="4f81bd" w:themeColor="accent1" w:sz="4" w:space="0"/>
        </w:tcBorders>
      </w:tcPr>
    </w:tblStylePr>
    <w:tblStylePr w:type="band1Vert">
      <w:rPr>
        <w:sz w:val="22"/>
      </w:rPr>
      <w:pPr>
        <w:pBdr/>
        <w:spacing/>
        <w:ind/>
      </w:pPr>
      <w:tblPr>
        <w:tblBorders/>
      </w:tblPr>
      <w:tcPr>
        <w:tcBorders>
          <w:left w:val="single" w:color="4f81bd" w:themeColor="accent1" w:sz="4" w:space="0"/>
          <w:right w:val="single" w:color="4f81bd"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4f81bd" w:fill="4f81bd" w:themeFill="accent1"/>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1" w:customStyle="1">
    <w:name w:val="List Table 3 Accent 2"/>
    <w:basedOn w:val="1078"/>
    <w:uiPriority w:val="99"/>
    <w:pPr>
      <w:pBdr/>
      <w:spacing/>
      <w:ind/>
    </w:pPr>
    <w:tblPr>
      <w:tblStyleRowBandSize w:val="1"/>
      <w:tblStyleColBandSize w:val="1"/>
      <w:tblCellMar>
        <w:left w:w="108" w:type="dxa"/>
        <w:top w:w="0" w:type="dxa"/>
        <w:right w:w="108" w:type="dxa"/>
        <w:bottom w:w="0" w:type="dxa"/>
      </w:tblCellMar>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cPr>
      <w:tcBorders/>
    </w:tcPr>
    <w:tblStylePr w:type="band1Horz">
      <w:rPr>
        <w:sz w:val="22"/>
      </w:rPr>
      <w:pPr>
        <w:pBdr/>
        <w:spacing/>
        <w:ind/>
      </w:pPr>
      <w:tblPr>
        <w:tblBorders/>
      </w:tblPr>
      <w:tcPr>
        <w:tcBorders>
          <w:top w:val="single" w:color="d99695" w:themeColor="accent2" w:sz="4" w:space="0"/>
          <w:bottom w:val="single" w:color="d99695" w:themeColor="accent2" w:sz="4" w:space="0"/>
        </w:tcBorders>
      </w:tcPr>
    </w:tblStylePr>
    <w:tblStylePr w:type="band1Vert">
      <w:rPr>
        <w:sz w:val="22"/>
      </w:rPr>
      <w:pPr>
        <w:pBdr/>
        <w:spacing/>
        <w:ind/>
      </w:pPr>
      <w:tblPr>
        <w:tblBorders/>
      </w:tblPr>
      <w:tcPr>
        <w:tcBorders>
          <w:left w:val="single" w:color="d99695" w:themeColor="accent2" w:sz="4" w:space="0"/>
          <w:right w:val="single" w:color="d99695" w:themeColor="accent2"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d99695" w:fill="d99695" w:themeFill="accent2" w:themeFillTint="97"/>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2" w:customStyle="1">
    <w:name w:val="List Table 3 Accent 3"/>
    <w:basedOn w:val="1078"/>
    <w:uiPriority w:val="99"/>
    <w:pPr>
      <w:pBdr/>
      <w:spacing/>
      <w:ind/>
    </w:pPr>
    <w:tblPr>
      <w:tblStyleRowBandSize w:val="1"/>
      <w:tblStyleColBandSize w:val="1"/>
      <w:tblCellMar>
        <w:left w:w="108" w:type="dxa"/>
        <w:top w:w="0" w:type="dxa"/>
        <w:right w:w="108" w:type="dxa"/>
        <w:bottom w:w="0" w:type="dxa"/>
      </w:tblCellMar>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cPr>
      <w:tcBorders/>
    </w:tcPr>
    <w:tblStylePr w:type="band1Horz">
      <w:rPr>
        <w:sz w:val="22"/>
      </w:rPr>
      <w:pPr>
        <w:pBdr/>
        <w:spacing/>
        <w:ind/>
      </w:pPr>
      <w:tblPr>
        <w:tblBorders/>
      </w:tblPr>
      <w:tcPr>
        <w:tcBorders>
          <w:top w:val="single" w:color="c3d69b" w:themeColor="accent3" w:sz="4" w:space="0"/>
          <w:bottom w:val="single" w:color="c3d69b" w:themeColor="accent3" w:sz="4" w:space="0"/>
        </w:tcBorders>
      </w:tcPr>
    </w:tblStylePr>
    <w:tblStylePr w:type="band1Vert">
      <w:rPr>
        <w:sz w:val="22"/>
      </w:rPr>
      <w:pPr>
        <w:pBdr/>
        <w:spacing/>
        <w:ind/>
      </w:pPr>
      <w:tblPr>
        <w:tblBorders/>
      </w:tblPr>
      <w:tcPr>
        <w:tcBorders>
          <w:left w:val="single" w:color="c3d69b" w:themeColor="accent3" w:sz="4" w:space="0"/>
          <w:right w:val="single" w:color="c3d69b" w:themeColor="accent3"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c3d69b" w:fill="c3d69b" w:themeFill="accent3" w:themeFillTint="98"/>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3" w:customStyle="1">
    <w:name w:val="List Table 3 Accent 4"/>
    <w:basedOn w:val="1078"/>
    <w:uiPriority w:val="99"/>
    <w:pPr>
      <w:pBdr/>
      <w:spacing/>
      <w:ind/>
    </w:pPr>
    <w:tblPr>
      <w:tblStyleRowBandSize w:val="1"/>
      <w:tblStyleColBandSize w:val="1"/>
      <w:tblCellMar>
        <w:left w:w="108" w:type="dxa"/>
        <w:top w:w="0" w:type="dxa"/>
        <w:right w:w="108" w:type="dxa"/>
        <w:bottom w:w="0" w:type="dxa"/>
      </w:tblCellMa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cPr>
      <w:tcBorders/>
    </w:tcPr>
    <w:tblStylePr w:type="band1Horz">
      <w:rPr>
        <w:sz w:val="22"/>
      </w:rPr>
      <w:pPr>
        <w:pBdr/>
        <w:spacing/>
        <w:ind/>
      </w:pPr>
      <w:tblPr>
        <w:tblBorders/>
      </w:tblPr>
      <w:tcPr>
        <w:tcBorders>
          <w:top w:val="single" w:color="b2a1c6" w:themeColor="accent4" w:sz="4" w:space="0"/>
          <w:bottom w:val="single" w:color="b2a1c6" w:themeColor="accent4" w:sz="4" w:space="0"/>
        </w:tcBorders>
      </w:tcPr>
    </w:tblStylePr>
    <w:tblStylePr w:type="band1Vert">
      <w:rPr>
        <w:sz w:val="22"/>
      </w:rPr>
      <w:pPr>
        <w:pBdr/>
        <w:spacing/>
        <w:ind/>
      </w:pPr>
      <w:tblPr>
        <w:tblBorders/>
      </w:tblPr>
      <w:tcPr>
        <w:tcBorders>
          <w:left w:val="single" w:color="b2a1c6" w:themeColor="accent4" w:sz="4" w:space="0"/>
          <w:right w:val="single" w:color="b2a1c6" w:themeColor="accent4"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b2a1c6" w:fill="b2a1c6" w:themeFill="accent4" w:themeFillTint="9A"/>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4" w:customStyle="1">
    <w:name w:val="List Table 3 Accent 5"/>
    <w:basedOn w:val="1078"/>
    <w:uiPriority w:val="99"/>
    <w:pPr>
      <w:pBdr/>
      <w:spacing/>
      <w:ind/>
    </w:pPr>
    <w:tblPr>
      <w:tblStyleRowBandSize w:val="1"/>
      <w:tblStyleColBandSize w:val="1"/>
      <w:tblCellMar>
        <w:left w:w="108" w:type="dxa"/>
        <w:top w:w="0" w:type="dxa"/>
        <w:right w:w="108" w:type="dxa"/>
        <w:bottom w:w="0" w:type="dxa"/>
      </w:tblCellMa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cPr>
      <w:tcBorders/>
    </w:tcPr>
    <w:tblStylePr w:type="band1Horz">
      <w:rPr>
        <w:sz w:val="22"/>
      </w:rPr>
      <w:pPr>
        <w:pBdr/>
        <w:spacing/>
        <w:ind/>
      </w:pPr>
      <w:tblPr>
        <w:tblBorders/>
      </w:tblPr>
      <w:tcPr>
        <w:tcBorders>
          <w:top w:val="single" w:color="92ccdc" w:themeColor="accent5" w:sz="4" w:space="0"/>
          <w:bottom w:val="single" w:color="92ccdc" w:themeColor="accent5" w:sz="4" w:space="0"/>
        </w:tcBorders>
      </w:tcPr>
    </w:tblStylePr>
    <w:tblStylePr w:type="band1Vert">
      <w:rPr>
        <w:sz w:val="22"/>
      </w:rPr>
      <w:pPr>
        <w:pBdr/>
        <w:spacing/>
        <w:ind/>
      </w:pPr>
      <w:tblPr>
        <w:tblBorders/>
      </w:tblPr>
      <w:tcPr>
        <w:tcBorders>
          <w:left w:val="single" w:color="92ccdc" w:themeColor="accent5" w:sz="4" w:space="0"/>
          <w:right w:val="single" w:color="92ccdc" w:themeColor="accent5"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92ccdc" w:fill="92ccdc" w:themeFill="accent5" w:themeFillTint="9A"/>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5" w:customStyle="1">
    <w:name w:val="List Table 3 Accent 6"/>
    <w:basedOn w:val="1078"/>
    <w:uiPriority w:val="99"/>
    <w:pPr>
      <w:pBdr/>
      <w:spacing/>
      <w:ind/>
    </w:pPr>
    <w:tblPr>
      <w:tblStyleRowBandSize w:val="1"/>
      <w:tblStyleColBandSize w:val="1"/>
      <w:tblCellMar>
        <w:left w:w="108" w:type="dxa"/>
        <w:top w:w="0" w:type="dxa"/>
        <w:right w:w="108" w:type="dxa"/>
        <w:bottom w:w="0" w:type="dxa"/>
      </w:tblCellMa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cPr>
      <w:tcBorders/>
    </w:tcPr>
    <w:tblStylePr w:type="band1Horz">
      <w:rPr>
        <w:sz w:val="22"/>
      </w:rPr>
      <w:pPr>
        <w:pBdr/>
        <w:spacing/>
        <w:ind/>
      </w:pPr>
      <w:tblPr>
        <w:tblBorders/>
      </w:tblPr>
      <w:tcPr>
        <w:tcBorders>
          <w:top w:val="single" w:color="fac090" w:themeColor="accent6" w:sz="4" w:space="0"/>
          <w:bottom w:val="single" w:color="fac090" w:themeColor="accent6" w:sz="4" w:space="0"/>
        </w:tcBorders>
      </w:tcPr>
    </w:tblStylePr>
    <w:tblStylePr w:type="band1Vert">
      <w:rPr>
        <w:sz w:val="22"/>
      </w:rPr>
      <w:pPr>
        <w:pBdr/>
        <w:spacing/>
        <w:ind/>
      </w:pPr>
      <w:tblPr>
        <w:tblBorders/>
      </w:tblPr>
      <w:tcPr>
        <w:tcBorders>
          <w:left w:val="single" w:color="fac090" w:themeColor="accent6" w:sz="4" w:space="0"/>
          <w:right w:val="single" w:color="fac090" w:themeColor="accent6"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ac090" w:fill="fac090" w:themeFill="accent6" w:themeFillTint="98"/>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6" w:customStyle="1">
    <w:name w:val="List Table 4"/>
    <w:basedOn w:val="1078"/>
    <w:uiPriority w:val="99"/>
    <w:pPr>
      <w:pBdr/>
      <w:spacing/>
      <w:ind/>
    </w:pPr>
    <w:tblPr>
      <w:tblStyleRowBandSize w:val="1"/>
      <w:tblStyleColBandSize w:val="1"/>
      <w:tblCellMar>
        <w:left w:w="108" w:type="dxa"/>
        <w:top w:w="0" w:type="dxa"/>
        <w:right w:w="108" w:type="dxa"/>
        <w:bottom w:w="0" w:type="dxa"/>
      </w:tblCellMa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sz w:val="22"/>
      </w:rPr>
      <w:pPr>
        <w:pBdr/>
        <w:spacing/>
        <w:ind/>
      </w:pPr>
      <w:tblPr>
        <w:tblBorders/>
      </w:tblPr>
      <w:tcPr>
        <w:shd w:val="clear" w:color="bfbfbf" w:fill="bfbfbf" w:themeFill="text1" w:themeFillTint="40"/>
        <w:tcBorders/>
      </w:tcPr>
    </w:tblStylePr>
    <w:tblStylePr w:type="band1Vert">
      <w:rPr>
        <w:sz w:val="22"/>
      </w:rPr>
      <w:pPr>
        <w:pBdr/>
        <w:spacing/>
        <w:ind/>
      </w:pPr>
      <w:tblPr>
        <w:tblBorders/>
      </w:tblPr>
      <w:tcPr>
        <w:shd w:val="clear" w:color="bfbfbf"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000000" w:fill="000000" w:themeFill="text1"/>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7" w:customStyle="1">
    <w:name w:val="List Table 4 Accent 1"/>
    <w:basedOn w:val="1078"/>
    <w:uiPriority w:val="99"/>
    <w:pPr>
      <w:pBdr/>
      <w:spacing/>
      <w:ind/>
    </w:pPr>
    <w:tblPr>
      <w:tblStyleRowBandSize w:val="1"/>
      <w:tblStyleColBandSize w:val="1"/>
      <w:tblCellMar>
        <w:left w:w="108" w:type="dxa"/>
        <w:top w:w="0" w:type="dxa"/>
        <w:right w:w="108" w:type="dxa"/>
        <w:bottom w:w="0" w:type="dxa"/>
      </w:tblCellMa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cPr>
      <w:tcBorders/>
    </w:tcPr>
    <w:tblStylePr w:type="band1Horz">
      <w:rPr>
        <w:sz w:val="22"/>
      </w:rPr>
      <w:pPr>
        <w:pBdr/>
        <w:spacing/>
        <w:ind/>
      </w:pPr>
      <w:tblPr>
        <w:tblBorders/>
      </w:tblPr>
      <w:tcPr>
        <w:shd w:val="clear" w:color="d2dfee" w:fill="d2dfee" w:themeFill="accent1" w:themeFillTint="40"/>
        <w:tcBorders/>
      </w:tcPr>
    </w:tblStylePr>
    <w:tblStylePr w:type="band1Vert">
      <w:rPr>
        <w:sz w:val="22"/>
      </w:rPr>
      <w:pPr>
        <w:pBdr/>
        <w:spacing/>
        <w:ind/>
      </w:pPr>
      <w:tblPr>
        <w:tblBorders/>
      </w:tblPr>
      <w:tcPr>
        <w:shd w:val="clear" w:color="d2dfee"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4f81bd" w:fill="4f81bd" w:themeFill="accent1"/>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8" w:customStyle="1">
    <w:name w:val="List Table 4 Accent 2"/>
    <w:basedOn w:val="1078"/>
    <w:uiPriority w:val="99"/>
    <w:pPr>
      <w:pBdr/>
      <w:spacing/>
      <w:ind/>
    </w:pPr>
    <w:tblPr>
      <w:tblStyleRowBandSize w:val="1"/>
      <w:tblStyleColBandSize w:val="1"/>
      <w:tblCellMar>
        <w:left w:w="108" w:type="dxa"/>
        <w:top w:w="0" w:type="dxa"/>
        <w:right w:w="108" w:type="dxa"/>
        <w:bottom w:w="0" w:type="dxa"/>
      </w:tblCellMar>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cPr>
      <w:tcBorders/>
    </w:tcPr>
    <w:tblStylePr w:type="band1Horz">
      <w:rPr>
        <w:sz w:val="22"/>
      </w:rPr>
      <w:pPr>
        <w:pBdr/>
        <w:spacing/>
        <w:ind/>
      </w:pPr>
      <w:tblPr>
        <w:tblBorders/>
      </w:tblPr>
      <w:tcPr>
        <w:shd w:val="clear" w:color="efd2d2" w:fill="efd2d2" w:themeFill="accent2" w:themeFillTint="40"/>
        <w:tcBorders/>
      </w:tcPr>
    </w:tblStylePr>
    <w:tblStylePr w:type="band1Vert">
      <w:rPr>
        <w:sz w:val="22"/>
      </w:rPr>
      <w:pPr>
        <w:pBdr/>
        <w:spacing/>
        <w:ind/>
      </w:pPr>
      <w:tblPr>
        <w:tblBorders/>
      </w:tblPr>
      <w:tcPr>
        <w:shd w:val="clear" w:color="efd2d2"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c0504d" w:fill="c0504d" w:themeFill="accent2"/>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9" w:customStyle="1">
    <w:name w:val="List Table 4 Accent 3"/>
    <w:basedOn w:val="1078"/>
    <w:uiPriority w:val="99"/>
    <w:pPr>
      <w:pBdr/>
      <w:spacing/>
      <w:ind/>
    </w:pPr>
    <w:tblPr>
      <w:tblStyleRowBandSize w:val="1"/>
      <w:tblStyleColBandSize w:val="1"/>
      <w:tblCellMar>
        <w:left w:w="108" w:type="dxa"/>
        <w:top w:w="0" w:type="dxa"/>
        <w:right w:w="108" w:type="dxa"/>
        <w:bottom w:w="0" w:type="dxa"/>
      </w:tblCellMa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cPr>
      <w:tcBorders/>
    </w:tcPr>
    <w:tblStylePr w:type="band1Horz">
      <w:rPr>
        <w:sz w:val="22"/>
      </w:rPr>
      <w:pPr>
        <w:pBdr/>
        <w:spacing/>
        <w:ind/>
      </w:pPr>
      <w:tblPr>
        <w:tblBorders/>
      </w:tblPr>
      <w:tcPr>
        <w:shd w:val="clear" w:color="e5eed5" w:fill="e5eed5" w:themeFill="accent3" w:themeFillTint="40"/>
        <w:tcBorders/>
      </w:tcPr>
    </w:tblStylePr>
    <w:tblStylePr w:type="band1Vert">
      <w:rPr>
        <w:sz w:val="22"/>
      </w:rPr>
      <w:pPr>
        <w:pBdr/>
        <w:spacing/>
        <w:ind/>
      </w:pPr>
      <w:tblPr>
        <w:tblBorders/>
      </w:tblPr>
      <w:tcPr>
        <w:shd w:val="clear" w:color="e5eed5"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9bbb59" w:fill="9bbb59" w:themeFill="accent3"/>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0" w:customStyle="1">
    <w:name w:val="List Table 4 Accent 4"/>
    <w:basedOn w:val="1078"/>
    <w:uiPriority w:val="99"/>
    <w:pPr>
      <w:pBdr/>
      <w:spacing/>
      <w:ind/>
    </w:pPr>
    <w:tblPr>
      <w:tblStyleRowBandSize w:val="1"/>
      <w:tblStyleColBandSize w:val="1"/>
      <w:tblCellMar>
        <w:left w:w="108" w:type="dxa"/>
        <w:top w:w="0" w:type="dxa"/>
        <w:right w:w="108" w:type="dxa"/>
        <w:bottom w:w="0" w:type="dxa"/>
      </w:tblCellMa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cPr>
      <w:tcBorders/>
    </w:tcPr>
    <w:tblStylePr w:type="band1Horz">
      <w:rPr>
        <w:sz w:val="22"/>
      </w:rPr>
      <w:pPr>
        <w:pBdr/>
        <w:spacing/>
        <w:ind/>
      </w:pPr>
      <w:tblPr>
        <w:tblBorders/>
      </w:tblPr>
      <w:tcPr>
        <w:shd w:val="clear" w:color="dfd8e7" w:fill="dfd8e7" w:themeFill="accent4" w:themeFillTint="40"/>
        <w:tcBorders/>
      </w:tcPr>
    </w:tblStylePr>
    <w:tblStylePr w:type="band1Vert">
      <w:rPr>
        <w:sz w:val="22"/>
      </w:rPr>
      <w:pPr>
        <w:pBdr/>
        <w:spacing/>
        <w:ind/>
      </w:pPr>
      <w:tblPr>
        <w:tblBorders/>
      </w:tblPr>
      <w:tcPr>
        <w:shd w:val="clear" w:color="dfd8e7"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8064a2" w:fill="8064a2" w:themeFill="accent4"/>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1" w:customStyle="1">
    <w:name w:val="List Table 4 Accent 5"/>
    <w:basedOn w:val="1078"/>
    <w:uiPriority w:val="99"/>
    <w:pPr>
      <w:pBdr/>
      <w:spacing/>
      <w:ind/>
    </w:pPr>
    <w:tblPr>
      <w:tblStyleRowBandSize w:val="1"/>
      <w:tblStyleColBandSize w:val="1"/>
      <w:tblCellMar>
        <w:left w:w="108" w:type="dxa"/>
        <w:top w:w="0" w:type="dxa"/>
        <w:right w:w="108" w:type="dxa"/>
        <w:bottom w:w="0" w:type="dxa"/>
      </w:tblCellMa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cPr>
      <w:tcBorders/>
    </w:tcPr>
    <w:tblStylePr w:type="band1Horz">
      <w:rPr>
        <w:sz w:val="22"/>
      </w:rPr>
      <w:pPr>
        <w:pBdr/>
        <w:spacing/>
        <w:ind/>
      </w:pPr>
      <w:tblPr>
        <w:tblBorders/>
      </w:tblPr>
      <w:tcPr>
        <w:shd w:val="clear" w:color="d1eaf0" w:fill="d1eaf0" w:themeFill="accent5" w:themeFillTint="40"/>
        <w:tcBorders/>
      </w:tcPr>
    </w:tblStylePr>
    <w:tblStylePr w:type="band1Vert">
      <w:rPr>
        <w:sz w:val="22"/>
      </w:rPr>
      <w:pPr>
        <w:pBdr/>
        <w:spacing/>
        <w:ind/>
      </w:pPr>
      <w:tblPr>
        <w:tblBorders/>
      </w:tblPr>
      <w:tcPr>
        <w:shd w:val="clear" w:color="d1eaf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4bacc6" w:fill="4bacc6" w:themeFill="accent5"/>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2" w:customStyle="1">
    <w:name w:val="List Table 4 Accent 6"/>
    <w:basedOn w:val="1078"/>
    <w:uiPriority w:val="99"/>
    <w:pPr>
      <w:pBdr/>
      <w:spacing/>
      <w:ind/>
    </w:pPr>
    <w:tblPr>
      <w:tblStyleRowBandSize w:val="1"/>
      <w:tblStyleColBandSize w:val="1"/>
      <w:tblCellMar>
        <w:left w:w="108" w:type="dxa"/>
        <w:top w:w="0" w:type="dxa"/>
        <w:right w:w="108" w:type="dxa"/>
        <w:bottom w:w="0" w:type="dxa"/>
      </w:tblCellMa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cPr>
      <w:tcBorders/>
    </w:tcPr>
    <w:tblStylePr w:type="band1Horz">
      <w:rPr>
        <w:sz w:val="22"/>
      </w:rPr>
      <w:pPr>
        <w:pBdr/>
        <w:spacing/>
        <w:ind/>
      </w:pPr>
      <w:tblPr>
        <w:tblBorders/>
      </w:tblPr>
      <w:tcPr>
        <w:shd w:val="clear" w:color="fde4d0" w:fill="fde4d0" w:themeFill="accent6" w:themeFillTint="40"/>
        <w:tcBorders/>
      </w:tcPr>
    </w:tblStylePr>
    <w:tblStylePr w:type="band1Vert">
      <w:rPr>
        <w:sz w:val="22"/>
      </w:rPr>
      <w:pPr>
        <w:pBdr/>
        <w:spacing/>
        <w:ind/>
      </w:pPr>
      <w:tblPr>
        <w:tblBorders/>
      </w:tblPr>
      <w:tcPr>
        <w:shd w:val="clear" w:color="fde4d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79646" w:fill="f79646" w:themeFill="accent6"/>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3" w:customStyle="1">
    <w:name w:val="List Table 5 Dark"/>
    <w:basedOn w:val="1078"/>
    <w:uiPriority w:val="99"/>
    <w:pPr>
      <w:pBdr/>
      <w:spacing/>
      <w:ind/>
    </w:pPr>
    <w:tblPr>
      <w:tblStyleRowBandSize w:val="1"/>
      <w:tblStyleColBandSize w:val="1"/>
      <w:tblCellMar>
        <w:left w:w="108" w:type="dxa"/>
        <w:top w:w="0" w:type="dxa"/>
        <w:right w:w="108" w:type="dxa"/>
        <w:bottom w:w="0" w:type="dxa"/>
      </w:tblCellMar>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cPr>
      <w:tcBorders/>
    </w:tcPr>
    <w:tblStylePr w:type="band1Horz">
      <w:pPr>
        <w:pBdr/>
        <w:spacing/>
        <w:ind/>
      </w:pPr>
      <w:tblPr>
        <w:tblBorders/>
      </w:tblPr>
      <w:tcPr>
        <w:shd w:val="clear" w:color="7f7f7f"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b/>
        <w:color w:val="ffffff" w:themeColor="light1"/>
        <w:sz w:val="22"/>
      </w:rPr>
      <w:pPr>
        <w:pBdr/>
        <w:spacing/>
        <w:ind/>
      </w:pPr>
      <w:tblPr>
        <w:tblBorders/>
      </w:tblPr>
      <w:tcPr>
        <w:tcBorders>
          <w:left w:val="single" w:color="7f7f7f" w:themeColor="text1" w:sz="32" w:space="0"/>
          <w:right w:val="single" w:color="ffffff" w:themeColor="light1" w:sz="4" w:space="0"/>
        </w:tcBorders>
      </w:tcPr>
    </w:tblStylePr>
    <w:tblStylePr w:type="firstRow">
      <w:rPr>
        <w:b/>
        <w:color w:val="ffffff" w:themeColor="light1"/>
        <w:sz w:val="22"/>
      </w:rPr>
      <w:pPr>
        <w:pBdr/>
        <w:spacing/>
        <w:ind/>
      </w:pPr>
      <w:tblPr>
        <w:tblBorders/>
      </w:tblPr>
      <w:tcPr>
        <w:shd w:val="clear" w:color="7f7f7f" w:fill="7f7f7f" w:themeFill="text1" w:themeFillTint="80"/>
        <w:tcBorders>
          <w:top w:val="single" w:color="7f7f7f" w:themeColor="tex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4" w:customStyle="1">
    <w:name w:val="List Table 5 Dark Accent 1"/>
    <w:basedOn w:val="1078"/>
    <w:uiPriority w:val="99"/>
    <w:pPr>
      <w:pBdr/>
      <w:spacing/>
      <w:ind/>
    </w:pPr>
    <w:tblPr>
      <w:tblStyleRowBandSize w:val="1"/>
      <w:tblStyleColBandSize w:val="1"/>
      <w:tblCellMar>
        <w:left w:w="108" w:type="dxa"/>
        <w:top w:w="0" w:type="dxa"/>
        <w:right w:w="108" w:type="dxa"/>
        <w:bottom w:w="0" w:type="dxa"/>
      </w:tblCellMa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cPr>
      <w:tcBorders/>
    </w:tcPr>
    <w:tblStylePr w:type="band1Horz">
      <w:pPr>
        <w:pBdr/>
        <w:spacing/>
        <w:ind/>
      </w:pPr>
      <w:tblPr>
        <w:tblBorders/>
      </w:tblPr>
      <w:tcPr>
        <w:shd w:val="clear" w:color="4f81bd" w:fill="4f81bd"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f81bd" w:fill="4f81bd"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f81bd" w:fill="4f81bd"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b/>
        <w:color w:val="ffffff" w:themeColor="light1"/>
        <w:sz w:val="22"/>
      </w:rPr>
      <w:pPr>
        <w:pBdr/>
        <w:spacing/>
        <w:ind/>
      </w:pPr>
      <w:tblPr>
        <w:tblBorders/>
      </w:tblPr>
      <w:tcPr>
        <w:tcBorders>
          <w:left w:val="single" w:color="4f81bd" w:themeColor="accent1" w:sz="32" w:space="0"/>
          <w:right w:val="single" w:color="ffffff" w:themeColor="light1" w:sz="4" w:space="0"/>
        </w:tcBorders>
      </w:tcPr>
    </w:tblStylePr>
    <w:tblStylePr w:type="firstRow">
      <w:rPr>
        <w:b/>
        <w:color w:val="ffffff" w:themeColor="light1"/>
        <w:sz w:val="22"/>
      </w:rPr>
      <w:pPr>
        <w:pBdr/>
        <w:spacing/>
        <w:ind/>
      </w:pPr>
      <w:tblPr>
        <w:tblBorders/>
      </w:tblPr>
      <w:tcPr>
        <w:shd w:val="clear" w:color="4f81bd" w:fill="4f81bd" w:themeFill="accent1"/>
        <w:tcBorders>
          <w:top w:val="single" w:color="4f81bd"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f81bd" w:themeColor="accent1"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5" w:customStyle="1">
    <w:name w:val="List Table 5 Dark Accent 2"/>
    <w:basedOn w:val="1078"/>
    <w:uiPriority w:val="99"/>
    <w:pPr>
      <w:pBdr/>
      <w:spacing/>
      <w:ind/>
    </w:pPr>
    <w:tblPr>
      <w:tblStyleRowBandSize w:val="1"/>
      <w:tblStyleColBandSize w:val="1"/>
      <w:tblCellMar>
        <w:left w:w="108" w:type="dxa"/>
        <w:top w:w="0" w:type="dxa"/>
        <w:right w:w="108" w:type="dxa"/>
        <w:bottom w:w="0" w:type="dxa"/>
      </w:tblCellMar>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tblPr>
    <w:tcPr>
      <w:tcBorders/>
    </w:tcPr>
    <w:tblStylePr w:type="band1Horz">
      <w:pPr>
        <w:pBdr/>
        <w:spacing/>
        <w:ind/>
      </w:pPr>
      <w:tblPr>
        <w:tblBorders/>
      </w:tblPr>
      <w:tcPr>
        <w:shd w:val="clear" w:color="d99695" w:fill="d99695"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d99695" w:fill="d99695"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d99695" w:fill="d99695"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b/>
        <w:color w:val="ffffff" w:themeColor="light1"/>
        <w:sz w:val="22"/>
      </w:rPr>
      <w:pPr>
        <w:pBdr/>
        <w:spacing/>
        <w:ind/>
      </w:pPr>
      <w:tblPr>
        <w:tblBorders/>
      </w:tblPr>
      <w:tcPr>
        <w:tcBorders>
          <w:left w:val="single" w:color="d99695" w:themeColor="accent2" w:sz="32" w:space="0"/>
          <w:right w:val="single" w:color="ffffff" w:themeColor="light1" w:sz="4" w:space="0"/>
        </w:tcBorders>
      </w:tcPr>
    </w:tblStylePr>
    <w:tblStylePr w:type="firstRow">
      <w:rPr>
        <w:b/>
        <w:color w:val="ffffff" w:themeColor="light1"/>
        <w:sz w:val="22"/>
      </w:rPr>
      <w:pPr>
        <w:pBdr/>
        <w:spacing/>
        <w:ind/>
      </w:pPr>
      <w:tblPr>
        <w:tblBorders/>
      </w:tblPr>
      <w:tcPr>
        <w:shd w:val="clear" w:color="d99695" w:fill="d99695" w:themeFill="accent2" w:themeFillTint="97"/>
        <w:tcBorders>
          <w:top w:val="single" w:color="d99695" w:themeColor="accent2"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d99695" w:themeColor="accent2"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6" w:customStyle="1">
    <w:name w:val="List Table 5 Dark Accent 3"/>
    <w:basedOn w:val="1078"/>
    <w:uiPriority w:val="99"/>
    <w:pPr>
      <w:pBdr/>
      <w:spacing/>
      <w:ind/>
    </w:pPr>
    <w:tblPr>
      <w:tblStyleRowBandSize w:val="1"/>
      <w:tblStyleColBandSize w:val="1"/>
      <w:tblCellMar>
        <w:left w:w="108" w:type="dxa"/>
        <w:top w:w="0" w:type="dxa"/>
        <w:right w:w="108" w:type="dxa"/>
        <w:bottom w:w="0" w:type="dxa"/>
      </w:tblCellMar>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tblPr>
    <w:tcPr>
      <w:tcBorders/>
    </w:tcPr>
    <w:tblStylePr w:type="band1Horz">
      <w:pPr>
        <w:pBdr/>
        <w:spacing/>
        <w:ind/>
      </w:pPr>
      <w:tblPr>
        <w:tblBorders/>
      </w:tblPr>
      <w:tcPr>
        <w:shd w:val="clear" w:color="c3d69b" w:fill="c3d69b"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3d69b" w:fill="c3d69b"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3d69b" w:fill="c3d69b"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b/>
        <w:color w:val="ffffff" w:themeColor="light1"/>
        <w:sz w:val="22"/>
      </w:rPr>
      <w:pPr>
        <w:pBdr/>
        <w:spacing/>
        <w:ind/>
      </w:pPr>
      <w:tblPr>
        <w:tblBorders/>
      </w:tblPr>
      <w:tcPr>
        <w:tcBorders>
          <w:left w:val="single" w:color="c3d69b" w:themeColor="accent3" w:sz="32" w:space="0"/>
          <w:right w:val="single" w:color="ffffff" w:themeColor="light1" w:sz="4" w:space="0"/>
        </w:tcBorders>
      </w:tcPr>
    </w:tblStylePr>
    <w:tblStylePr w:type="firstRow">
      <w:rPr>
        <w:b/>
        <w:color w:val="ffffff" w:themeColor="light1"/>
        <w:sz w:val="22"/>
      </w:rPr>
      <w:pPr>
        <w:pBdr/>
        <w:spacing/>
        <w:ind/>
      </w:pPr>
      <w:tblPr>
        <w:tblBorders/>
      </w:tblPr>
      <w:tcPr>
        <w:shd w:val="clear" w:color="c3d69b" w:fill="c3d69b" w:themeFill="accent3" w:themeFillTint="98"/>
        <w:tcBorders>
          <w:top w:val="single" w:color="c3d69b" w:themeColor="accent3"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3d69b" w:themeColor="accent3"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7" w:customStyle="1">
    <w:name w:val="List Table 5 Dark Accent 4"/>
    <w:basedOn w:val="1078"/>
    <w:uiPriority w:val="99"/>
    <w:pPr>
      <w:pBdr/>
      <w:spacing/>
      <w:ind/>
    </w:pPr>
    <w:tblPr>
      <w:tblStyleRowBandSize w:val="1"/>
      <w:tblStyleColBandSize w:val="1"/>
      <w:tblCellMar>
        <w:left w:w="108" w:type="dxa"/>
        <w:top w:w="0" w:type="dxa"/>
        <w:right w:w="108" w:type="dxa"/>
        <w:bottom w:w="0" w:type="dxa"/>
      </w:tblCellMa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cPr>
      <w:tcBorders/>
    </w:tcPr>
    <w:tblStylePr w:type="band1Horz">
      <w:pPr>
        <w:pBdr/>
        <w:spacing/>
        <w:ind/>
      </w:pPr>
      <w:tblPr>
        <w:tblBorders/>
      </w:tblPr>
      <w:tcPr>
        <w:shd w:val="clear" w:color="b2a1c6" w:fill="b2a1c6"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b2a1c6" w:fill="b2a1c6"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b2a1c6" w:fill="b2a1c6"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b/>
        <w:color w:val="ffffff" w:themeColor="light1"/>
        <w:sz w:val="22"/>
      </w:rPr>
      <w:pPr>
        <w:pBdr/>
        <w:spacing/>
        <w:ind/>
      </w:pPr>
      <w:tblPr>
        <w:tblBorders/>
      </w:tblPr>
      <w:tcPr>
        <w:tcBorders>
          <w:left w:val="single" w:color="b2a1c6" w:themeColor="accent4" w:sz="32" w:space="0"/>
          <w:right w:val="single" w:color="ffffff" w:themeColor="light1" w:sz="4" w:space="0"/>
        </w:tcBorders>
      </w:tcPr>
    </w:tblStylePr>
    <w:tblStylePr w:type="firstRow">
      <w:rPr>
        <w:b/>
        <w:color w:val="ffffff" w:themeColor="light1"/>
        <w:sz w:val="22"/>
      </w:rPr>
      <w:pPr>
        <w:pBdr/>
        <w:spacing/>
        <w:ind/>
      </w:pPr>
      <w:tblPr>
        <w:tblBorders/>
      </w:tblPr>
      <w:tcPr>
        <w:shd w:val="clear" w:color="b2a1c6" w:fill="b2a1c6" w:themeFill="accent4" w:themeFillTint="9A"/>
        <w:tcBorders>
          <w:top w:val="single" w:color="b2a1c6" w:themeColor="accent4"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b2a1c6" w:themeColor="accent4"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8" w:customStyle="1">
    <w:name w:val="List Table 5 Dark Accent 5"/>
    <w:basedOn w:val="1078"/>
    <w:uiPriority w:val="99"/>
    <w:pPr>
      <w:pBdr/>
      <w:spacing/>
      <w:ind/>
    </w:pPr>
    <w:tblPr>
      <w:tblStyleRowBandSize w:val="1"/>
      <w:tblStyleColBandSize w:val="1"/>
      <w:tblCellMar>
        <w:left w:w="108" w:type="dxa"/>
        <w:top w:w="0" w:type="dxa"/>
        <w:right w:w="108" w:type="dxa"/>
        <w:bottom w:w="0" w:type="dxa"/>
      </w:tblCellMa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cPr>
      <w:tcBorders/>
    </w:tcPr>
    <w:tblStylePr w:type="band1Horz">
      <w:pPr>
        <w:pBdr/>
        <w:spacing/>
        <w:ind/>
      </w:pPr>
      <w:tblPr>
        <w:tblBorders/>
      </w:tblPr>
      <w:tcPr>
        <w:shd w:val="clear" w:color="92ccdc" w:fill="92ccdc"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2ccdc" w:fill="92ccdc"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2ccdc" w:fill="92ccdc"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b/>
        <w:color w:val="ffffff" w:themeColor="light1"/>
        <w:sz w:val="22"/>
      </w:rPr>
      <w:pPr>
        <w:pBdr/>
        <w:spacing/>
        <w:ind/>
      </w:pPr>
      <w:tblPr>
        <w:tblBorders/>
      </w:tblPr>
      <w:tcPr>
        <w:tcBorders>
          <w:left w:val="single" w:color="92ccdc" w:themeColor="accent5" w:sz="32" w:space="0"/>
          <w:right w:val="single" w:color="ffffff" w:themeColor="light1" w:sz="4" w:space="0"/>
        </w:tcBorders>
      </w:tcPr>
    </w:tblStylePr>
    <w:tblStylePr w:type="firstRow">
      <w:rPr>
        <w:b/>
        <w:color w:val="ffffff" w:themeColor="light1"/>
        <w:sz w:val="22"/>
      </w:rPr>
      <w:pPr>
        <w:pBdr/>
        <w:spacing/>
        <w:ind/>
      </w:pPr>
      <w:tblPr>
        <w:tblBorders/>
      </w:tblPr>
      <w:tcPr>
        <w:shd w:val="clear" w:color="92ccdc" w:fill="92ccdc" w:themeFill="accent5" w:themeFillTint="9A"/>
        <w:tcBorders>
          <w:top w:val="single" w:color="92ccdc" w:themeColor="accent5"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2ccdc" w:themeColor="accent5"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9" w:customStyle="1">
    <w:name w:val="List Table 5 Dark Accent 6"/>
    <w:basedOn w:val="1078"/>
    <w:uiPriority w:val="99"/>
    <w:pPr>
      <w:pBdr/>
      <w:spacing/>
      <w:ind/>
    </w:pPr>
    <w:tblPr>
      <w:tblStyleRowBandSize w:val="1"/>
      <w:tblStyleColBandSize w:val="1"/>
      <w:tblCellMar>
        <w:left w:w="108" w:type="dxa"/>
        <w:top w:w="0" w:type="dxa"/>
        <w:right w:w="108" w:type="dxa"/>
        <w:bottom w:w="0" w:type="dxa"/>
      </w:tblCellMa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cPr>
      <w:tcBorders/>
    </w:tcPr>
    <w:tblStylePr w:type="band1Horz">
      <w:pPr>
        <w:pBdr/>
        <w:spacing/>
        <w:ind/>
      </w:pPr>
      <w:tblPr>
        <w:tblBorders/>
      </w:tblPr>
      <w:tcPr>
        <w:shd w:val="clear" w:color="fac090" w:fill="fac090"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fac090" w:fill="fac090"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fac090" w:fill="fac090"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b/>
        <w:color w:val="ffffff" w:themeColor="light1"/>
        <w:sz w:val="22"/>
      </w:rPr>
      <w:pPr>
        <w:pBdr/>
        <w:spacing/>
        <w:ind/>
      </w:pPr>
      <w:tblPr>
        <w:tblBorders/>
      </w:tblPr>
      <w:tcPr>
        <w:tcBorders>
          <w:left w:val="single" w:color="fac090" w:themeColor="accent6" w:sz="32" w:space="0"/>
          <w:right w:val="single" w:color="ffffff" w:themeColor="light1" w:sz="4" w:space="0"/>
        </w:tcBorders>
      </w:tcPr>
    </w:tblStylePr>
    <w:tblStylePr w:type="firstRow">
      <w:rPr>
        <w:b/>
        <w:color w:val="ffffff" w:themeColor="light1"/>
        <w:sz w:val="22"/>
      </w:rPr>
      <w:pPr>
        <w:pBdr/>
        <w:spacing/>
        <w:ind/>
      </w:pPr>
      <w:tblPr>
        <w:tblBorders/>
      </w:tblPr>
      <w:tcPr>
        <w:shd w:val="clear" w:color="fac090" w:fill="fac090" w:themeFill="accent6" w:themeFillTint="98"/>
        <w:tcBorders>
          <w:top w:val="single" w:color="fac090" w:themeColor="accent6"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ac090" w:themeColor="accent6"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0" w:customStyle="1">
    <w:name w:val="List Table 6 Colorful"/>
    <w:basedOn w:val="1078"/>
    <w:uiPriority w:val="99"/>
    <w:pPr>
      <w:pBdr/>
      <w:spacing/>
      <w:ind/>
    </w:pPr>
    <w:tblPr>
      <w:tblStyleRowBandSize w:val="1"/>
      <w:tblStyleColBandSize w:val="1"/>
      <w:tblCellMar>
        <w:left w:w="108" w:type="dxa"/>
        <w:top w:w="0" w:type="dxa"/>
        <w:right w:w="108" w:type="dxa"/>
        <w:bottom w:w="0" w:type="dxa"/>
      </w:tblCellMar>
      <w:tblBorders>
        <w:top w:val="single" w:color="7f7f7f" w:themeColor="text1" w:themeTint="80" w:sz="4" w:space="0"/>
        <w:bottom w:val="single" w:color="7f7f7f" w:themeColor="text1" w:themeTint="80" w:sz="4" w:space="0"/>
      </w:tblBorders>
    </w:tblPr>
    <w:tcPr>
      <w:tcBorders/>
    </w:tcPr>
    <w:tblStylePr w:type="band1Horz">
      <w:rPr>
        <w:color w:val="000000" w:themeColor="text1"/>
        <w:sz w:val="22"/>
      </w:rPr>
      <w:pPr>
        <w:pBdr/>
        <w:spacing/>
        <w:ind/>
      </w:pPr>
      <w:tblPr>
        <w:tblBorders/>
      </w:tblPr>
      <w:tcPr>
        <w:shd w:val="clear" w:color="bfbfbf" w:fill="bfbfbf" w:themeFill="text1" w:themeFillTint="40"/>
        <w:tcBorders/>
      </w:tcPr>
    </w:tblStylePr>
    <w:tblStylePr w:type="band1Vert">
      <w:pPr>
        <w:pBdr/>
        <w:spacing/>
        <w:ind/>
      </w:pPr>
      <w:tblPr>
        <w:tblBorders/>
      </w:tblPr>
      <w:tcPr>
        <w:shd w:val="clear" w:color="bfbfbf" w:fill="bfbfbf" w:themeFill="text1" w:themeFillTint="40"/>
        <w:tcBorders/>
      </w:tcPr>
    </w:tblStylePr>
    <w:tblStylePr w:type="band2Horz">
      <w:rPr>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1" w:customStyle="1">
    <w:name w:val="List Table 6 Colorful - Accent 1"/>
    <w:basedOn w:val="1078"/>
    <w:uiPriority w:val="99"/>
    <w:pPr>
      <w:pBdr/>
      <w:spacing/>
      <w:ind/>
    </w:pPr>
    <w:tblPr>
      <w:tblStyleRowBandSize w:val="1"/>
      <w:tblStyleColBandSize w:val="1"/>
      <w:tblCellMar>
        <w:left w:w="108" w:type="dxa"/>
        <w:top w:w="0" w:type="dxa"/>
        <w:right w:w="108" w:type="dxa"/>
        <w:bottom w:w="0" w:type="dxa"/>
      </w:tblCellMar>
      <w:tblBorders>
        <w:top w:val="single" w:color="4f81bd" w:themeColor="accent1" w:sz="4" w:space="0"/>
        <w:bottom w:val="single" w:color="4f81bd" w:themeColor="accent1" w:sz="4" w:space="0"/>
      </w:tblBorders>
    </w:tblPr>
    <w:tcPr>
      <w:tcBorders/>
    </w:tcPr>
    <w:tblStylePr w:type="band1Horz">
      <w:rPr>
        <w:color w:val="2b4b72" w:themeColor="accent1" w:themeShade="95"/>
        <w:sz w:val="22"/>
      </w:rPr>
      <w:pPr>
        <w:pBdr/>
        <w:spacing/>
        <w:ind/>
      </w:pPr>
      <w:tblPr>
        <w:tblBorders/>
      </w:tblPr>
      <w:tcPr>
        <w:shd w:val="clear" w:color="d2dfee" w:fill="d2dfee" w:themeFill="accent1" w:themeFillTint="40"/>
        <w:tcBorders/>
      </w:tcPr>
    </w:tblStylePr>
    <w:tblStylePr w:type="band1Vert">
      <w:pPr>
        <w:pBdr/>
        <w:spacing/>
        <w:ind/>
      </w:pPr>
      <w:tblPr>
        <w:tblBorders/>
      </w:tblPr>
      <w:tcPr>
        <w:shd w:val="clear" w:color="d2dfee" w:fill="d2dfee" w:themeFill="accent1" w:themeFillTint="40"/>
        <w:tcBorders/>
      </w:tcPr>
    </w:tblStylePr>
    <w:tblStylePr w:type="band2Horz">
      <w:rPr>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4f81bd"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4f81bd"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2" w:customStyle="1">
    <w:name w:val="List Table 6 Colorful - Accent 2"/>
    <w:basedOn w:val="1078"/>
    <w:uiPriority w:val="99"/>
    <w:pPr>
      <w:pBdr/>
      <w:spacing/>
      <w:ind/>
    </w:pPr>
    <w:tblPr>
      <w:tblStyleRowBandSize w:val="1"/>
      <w:tblStyleColBandSize w:val="1"/>
      <w:tblCellMar>
        <w:left w:w="108" w:type="dxa"/>
        <w:top w:w="0" w:type="dxa"/>
        <w:right w:w="108" w:type="dxa"/>
        <w:bottom w:w="0" w:type="dxa"/>
      </w:tblCellMar>
      <w:tblBorders>
        <w:top w:val="single" w:color="d99695" w:themeColor="accent2" w:themeTint="97" w:sz="4" w:space="0"/>
        <w:bottom w:val="single" w:color="d99695" w:themeColor="accent2" w:themeTint="97" w:sz="4" w:space="0"/>
      </w:tblBorders>
    </w:tblPr>
    <w:tcPr>
      <w:tcBorders/>
    </w:tcPr>
    <w:tblStylePr w:type="band1Horz">
      <w:rPr>
        <w:color w:val="9f3b38" w:themeColor="accent2" w:themeTint="97" w:themeShade="95"/>
        <w:sz w:val="22"/>
      </w:rPr>
      <w:pPr>
        <w:pBdr/>
        <w:spacing/>
        <w:ind/>
      </w:pPr>
      <w:tblPr>
        <w:tblBorders/>
      </w:tblPr>
      <w:tcPr>
        <w:shd w:val="clear" w:color="efd2d2" w:fill="efd2d2" w:themeFill="accent2" w:themeFillTint="40"/>
        <w:tcBorders/>
      </w:tcPr>
    </w:tblStylePr>
    <w:tblStylePr w:type="band1Vert">
      <w:pPr>
        <w:pBdr/>
        <w:spacing/>
        <w:ind/>
      </w:pPr>
      <w:tblPr>
        <w:tblBorders/>
      </w:tblPr>
      <w:tcPr>
        <w:shd w:val="clear" w:color="efd2d2" w:fill="efd2d2" w:themeFill="accent2" w:themeFillTint="40"/>
        <w:tcBorders/>
      </w:tcPr>
    </w:tblStylePr>
    <w:tblStylePr w:type="band2Horz">
      <w:rPr>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d99695" w:themeColor="accent2"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d99695" w:themeColor="accent2"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3" w:customStyle="1">
    <w:name w:val="List Table 6 Colorful - Accent 3"/>
    <w:basedOn w:val="1078"/>
    <w:uiPriority w:val="99"/>
    <w:pPr>
      <w:pBdr/>
      <w:spacing/>
      <w:ind/>
    </w:pPr>
    <w:tblPr>
      <w:tblStyleRowBandSize w:val="1"/>
      <w:tblStyleColBandSize w:val="1"/>
      <w:tblCellMar>
        <w:left w:w="108" w:type="dxa"/>
        <w:top w:w="0" w:type="dxa"/>
        <w:right w:w="108" w:type="dxa"/>
        <w:bottom w:w="0" w:type="dxa"/>
      </w:tblCellMar>
      <w:tblBorders>
        <w:top w:val="single" w:color="c3d69b" w:themeColor="accent3" w:themeTint="98" w:sz="4" w:space="0"/>
        <w:bottom w:val="single" w:color="c3d69b" w:themeColor="accent3" w:themeTint="98" w:sz="4" w:space="0"/>
      </w:tblBorders>
    </w:tblPr>
    <w:tcPr>
      <w:tcBorders/>
    </w:tcPr>
    <w:tblStylePr w:type="band1Horz">
      <w:rPr>
        <w:color w:val="7c9a3f" w:themeColor="accent3" w:themeTint="98" w:themeShade="95"/>
        <w:sz w:val="22"/>
      </w:rPr>
      <w:pPr>
        <w:pBdr/>
        <w:spacing/>
        <w:ind/>
      </w:pPr>
      <w:tblPr>
        <w:tblBorders/>
      </w:tblPr>
      <w:tcPr>
        <w:shd w:val="clear" w:color="e5eed5" w:fill="e5eed5" w:themeFill="accent3" w:themeFillTint="40"/>
        <w:tcBorders/>
      </w:tcPr>
    </w:tblStylePr>
    <w:tblStylePr w:type="band1Vert">
      <w:pPr>
        <w:pBdr/>
        <w:spacing/>
        <w:ind/>
      </w:pPr>
      <w:tblPr>
        <w:tblBorders/>
      </w:tblPr>
      <w:tcPr>
        <w:shd w:val="clear" w:color="e5eed5" w:fill="e5eed5" w:themeFill="accent3" w:themeFillTint="40"/>
        <w:tcBorders/>
      </w:tcPr>
    </w:tblStylePr>
    <w:tblStylePr w:type="band2Horz">
      <w:rPr>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c3d69b" w:themeColor="accent3"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c3d69b" w:themeColor="accent3"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4" w:customStyle="1">
    <w:name w:val="List Table 6 Colorful - Accent 4"/>
    <w:basedOn w:val="1078"/>
    <w:uiPriority w:val="99"/>
    <w:pPr>
      <w:pBdr/>
      <w:spacing/>
      <w:ind/>
    </w:pPr>
    <w:tblPr>
      <w:tblStyleRowBandSize w:val="1"/>
      <w:tblStyleColBandSize w:val="1"/>
      <w:tblCellMar>
        <w:left w:w="108" w:type="dxa"/>
        <w:top w:w="0" w:type="dxa"/>
        <w:right w:w="108" w:type="dxa"/>
        <w:bottom w:w="0" w:type="dxa"/>
      </w:tblCellMar>
      <w:tblBorders>
        <w:top w:val="single" w:color="b2a1c6" w:themeColor="accent4" w:themeTint="9A" w:sz="4" w:space="0"/>
        <w:bottom w:val="single" w:color="b2a1c6" w:themeColor="accent4" w:themeTint="9A" w:sz="4" w:space="0"/>
      </w:tblBorders>
    </w:tblPr>
    <w:tcPr>
      <w:tcBorders/>
    </w:tcPr>
    <w:tblStylePr w:type="band1Horz">
      <w:rPr>
        <w:color w:val="674f84" w:themeColor="accent4" w:themeTint="9A" w:themeShade="95"/>
        <w:sz w:val="22"/>
      </w:rPr>
      <w:pPr>
        <w:pBdr/>
        <w:spacing/>
        <w:ind/>
      </w:pPr>
      <w:tblPr>
        <w:tblBorders/>
      </w:tblPr>
      <w:tcPr>
        <w:shd w:val="clear" w:color="dfd8e7" w:fill="dfd8e7" w:themeFill="accent4" w:themeFillTint="40"/>
        <w:tcBorders/>
      </w:tcPr>
    </w:tblStylePr>
    <w:tblStylePr w:type="band1Vert">
      <w:pPr>
        <w:pBdr/>
        <w:spacing/>
        <w:ind/>
      </w:pPr>
      <w:tblPr>
        <w:tblBorders/>
      </w:tblPr>
      <w:tcPr>
        <w:shd w:val="clear" w:color="dfd8e7" w:fill="dfd8e7" w:themeFill="accent4" w:themeFillTint="40"/>
        <w:tcBorders/>
      </w:tcPr>
    </w:tblStylePr>
    <w:tblStylePr w:type="band2Horz">
      <w:rPr>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b2a1c6" w:themeColor="accent4"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b2a1c6" w:themeColor="accent4"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5" w:customStyle="1">
    <w:name w:val="List Table 6 Colorful - Accent 5"/>
    <w:basedOn w:val="1078"/>
    <w:uiPriority w:val="99"/>
    <w:pPr>
      <w:pBdr/>
      <w:spacing/>
      <w:ind/>
    </w:pPr>
    <w:tblPr>
      <w:tblStyleRowBandSize w:val="1"/>
      <w:tblStyleColBandSize w:val="1"/>
      <w:tblCellMar>
        <w:left w:w="108" w:type="dxa"/>
        <w:top w:w="0" w:type="dxa"/>
        <w:right w:w="108" w:type="dxa"/>
        <w:bottom w:w="0" w:type="dxa"/>
      </w:tblCellMar>
      <w:tblBorders>
        <w:top w:val="single" w:color="92ccdc" w:themeColor="accent5" w:themeTint="9A" w:sz="4" w:space="0"/>
        <w:bottom w:val="single" w:color="92ccdc" w:themeColor="accent5" w:themeTint="9A" w:sz="4" w:space="0"/>
      </w:tblBorders>
    </w:tblPr>
    <w:tcPr>
      <w:tcBorders/>
    </w:tcPr>
    <w:tblStylePr w:type="band1Horz">
      <w:rPr>
        <w:color w:val="348ba3" w:themeColor="accent5" w:themeTint="9A" w:themeShade="95"/>
        <w:sz w:val="22"/>
      </w:rPr>
      <w:pPr>
        <w:pBdr/>
        <w:spacing/>
        <w:ind/>
      </w:pPr>
      <w:tblPr>
        <w:tblBorders/>
      </w:tblPr>
      <w:tcPr>
        <w:shd w:val="clear" w:color="d1eaf0" w:fill="d1eaf0" w:themeFill="accent5" w:themeFillTint="40"/>
        <w:tcBorders/>
      </w:tcPr>
    </w:tblStylePr>
    <w:tblStylePr w:type="band1Vert">
      <w:pPr>
        <w:pBdr/>
        <w:spacing/>
        <w:ind/>
      </w:pPr>
      <w:tblPr>
        <w:tblBorders/>
      </w:tblPr>
      <w:tcPr>
        <w:shd w:val="clear" w:color="d1eaf0" w:fill="d1eaf0" w:themeFill="accent5" w:themeFillTint="40"/>
        <w:tcBorders/>
      </w:tcPr>
    </w:tblStylePr>
    <w:tblStylePr w:type="band2Horz">
      <w:rPr>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92ccdc" w:themeColor="accent5"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92ccdc"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6" w:customStyle="1">
    <w:name w:val="List Table 6 Colorful - Accent 6"/>
    <w:basedOn w:val="1078"/>
    <w:uiPriority w:val="99"/>
    <w:pPr>
      <w:pBdr/>
      <w:spacing/>
      <w:ind/>
    </w:pPr>
    <w:tblPr>
      <w:tblStyleRowBandSize w:val="1"/>
      <w:tblStyleColBandSize w:val="1"/>
      <w:tblCellMar>
        <w:left w:w="108" w:type="dxa"/>
        <w:top w:w="0" w:type="dxa"/>
        <w:right w:w="108" w:type="dxa"/>
        <w:bottom w:w="0" w:type="dxa"/>
      </w:tblCellMar>
      <w:tblBorders>
        <w:top w:val="single" w:color="fac090" w:themeColor="accent6" w:themeTint="98" w:sz="4" w:space="0"/>
        <w:bottom w:val="single" w:color="fac090" w:themeColor="accent6" w:themeTint="98" w:sz="4" w:space="0"/>
      </w:tblBorders>
    </w:tblPr>
    <w:tcPr>
      <w:tcBorders/>
    </w:tcPr>
    <w:tblStylePr w:type="band1Horz">
      <w:rPr>
        <w:color w:val="dd690a" w:themeColor="accent6" w:themeTint="98" w:themeShade="95"/>
        <w:sz w:val="22"/>
      </w:rPr>
      <w:pPr>
        <w:pBdr/>
        <w:spacing/>
        <w:ind/>
      </w:pPr>
      <w:tblPr>
        <w:tblBorders/>
      </w:tblPr>
      <w:tcPr>
        <w:shd w:val="clear" w:color="fde4d0" w:fill="fde4d0" w:themeFill="accent6" w:themeFillTint="40"/>
        <w:tcBorders/>
      </w:tcPr>
    </w:tblStylePr>
    <w:tblStylePr w:type="band1Vert">
      <w:pPr>
        <w:pBdr/>
        <w:spacing/>
        <w:ind/>
      </w:pPr>
      <w:tblPr>
        <w:tblBorders/>
      </w:tblPr>
      <w:tcPr>
        <w:shd w:val="clear" w:color="fde4d0" w:fill="fde4d0" w:themeFill="accent6" w:themeFillTint="40"/>
        <w:tcBorders/>
      </w:tcPr>
    </w:tblStylePr>
    <w:tblStylePr w:type="band2Horz">
      <w:rPr>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fac090" w:themeColor="accent6"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fac09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7" w:customStyle="1">
    <w:name w:val="List Table 7 Colorful"/>
    <w:basedOn w:val="1078"/>
    <w:uiPriority w:val="99"/>
    <w:pPr>
      <w:pBdr/>
      <w:spacing/>
      <w:ind/>
    </w:pPr>
    <w:tblPr>
      <w:tblStyleRowBandSize w:val="1"/>
      <w:tblStyleColBandSize w:val="1"/>
      <w:tblCellMar>
        <w:left w:w="108" w:type="dxa"/>
        <w:top w:w="0" w:type="dxa"/>
        <w:right w:w="108" w:type="dxa"/>
        <w:bottom w:w="0" w:type="dxa"/>
      </w:tblCellMar>
      <w:tblBorders>
        <w:right w:val="single" w:color="7f7f7f" w:themeColor="text1" w:themeTint="80" w:sz="4" w:space="0"/>
      </w:tblBorders>
    </w:tblPr>
    <w:tcPr>
      <w:tcBorders/>
    </w:tcPr>
    <w:tblStylePr w:type="band1Horz">
      <w:rPr>
        <w:color w:val="4a4a4a" w:themeColor="text1" w:themeTint="80" w:themeShade="95"/>
        <w:sz w:val="22"/>
      </w:rPr>
      <w:pPr>
        <w:pBdr/>
        <w:spacing/>
        <w:ind/>
      </w:pPr>
      <w:tblPr>
        <w:tblBorders/>
      </w:tblPr>
      <w:tcPr>
        <w:shd w:val="clear" w:color="bfbfbf" w:fill="bfbfbf" w:themeFill="text1" w:themeFillTint="40"/>
        <w:tcBorders/>
      </w:tcPr>
    </w:tblStylePr>
    <w:tblStylePr w:type="band1Vert">
      <w:pPr>
        <w:pBdr/>
        <w:spacing/>
        <w:ind/>
      </w:pPr>
      <w:tblPr>
        <w:tblBorders/>
      </w:tblPr>
      <w:tcPr>
        <w:shd w:val="clear" w:color="bfbfbf" w:fill="bfbfbf" w:themeFill="text1" w:themeFillTint="40"/>
        <w:tcBorders/>
      </w:tcPr>
    </w:tblStylePr>
    <w:tblStylePr w:type="band2Horz">
      <w:rPr>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4a4a4a"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sz="4" w:space="0"/>
        </w:tcBorders>
      </w:tcPr>
    </w:tblStylePr>
    <w:tblStylePr w:type="firstRow">
      <w:rPr>
        <w:i/>
        <w:color w:val="4a4a4a" w:themeColor="text1" w:themeTint="80" w:themeShade="95"/>
        <w:sz w:val="22"/>
      </w:rPr>
      <w:pPr>
        <w:pBdr/>
        <w:spacing/>
        <w:ind/>
      </w:pPr>
      <w:tblPr>
        <w:tblBorders/>
      </w:tblPr>
      <w:tcPr>
        <w:shd w:val="clear" w:color="ffffff" w:fill="ffffff" w:themeFill="light1"/>
        <w:tcBorders>
          <w:top w:val="none" w:color="000000" w:sz="4" w:space="0"/>
          <w:left w:val="none" w:color="000000" w:sz="4" w:space="0"/>
          <w:bottom w:val="single" w:color="7f7f7f" w:themeColor="text1" w:sz="4" w:space="0"/>
          <w:right w:val="none" w:color="000000" w:sz="4" w:space="0"/>
        </w:tcBorders>
      </w:tcPr>
    </w:tblStylePr>
    <w:tblStylePr w:type="lastCol">
      <w:rPr>
        <w:i/>
        <w:color w:val="4a4a4a" w:themeColor="text1" w:themeTint="80" w:themeShade="95"/>
        <w:sz w:val="22"/>
      </w:rPr>
      <w:pPr>
        <w:pBdr/>
        <w:spacing/>
        <w:ind/>
      </w:pPr>
      <w:tblPr>
        <w:tblBorders/>
      </w:tblPr>
      <w:tcPr>
        <w:shd w:val="clear" w:color="ffffff" w:fill="auto"/>
        <w:tcBorders>
          <w:top w:val="none" w:color="000000" w:sz="4" w:space="0"/>
          <w:left w:val="single" w:color="7f7f7f" w:themeColor="text1" w:sz="4" w:space="0"/>
          <w:bottom w:val="none" w:color="000000" w:sz="4" w:space="0"/>
          <w:right w:val="none" w:color="000000" w:sz="4" w:space="0"/>
        </w:tcBorders>
      </w:tcPr>
    </w:tblStylePr>
    <w:tblStylePr w:type="lastRow">
      <w:rPr>
        <w:i/>
        <w:color w:val="4a4a4a" w:themeColor="text1" w:themeTint="80" w:themeShade="95"/>
        <w:sz w:val="22"/>
      </w:rPr>
      <w:pPr>
        <w:pBdr/>
        <w:spacing/>
        <w:ind/>
      </w:pPr>
      <w:tblPr>
        <w:tblBorders/>
      </w:tblPr>
      <w:tcPr>
        <w:shd w:val="clear" w:color="ffffff" w:fill="ffffff" w:themeFill="light1"/>
        <w:tcBorders>
          <w:top w:val="single" w:color="7f7f7f"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8" w:customStyle="1">
    <w:name w:val="List Table 7 Colorful - Accent 1"/>
    <w:basedOn w:val="1078"/>
    <w:uiPriority w:val="99"/>
    <w:pPr>
      <w:pBdr/>
      <w:spacing/>
      <w:ind/>
    </w:pPr>
    <w:tblPr>
      <w:tblStyleRowBandSize w:val="1"/>
      <w:tblStyleColBandSize w:val="1"/>
      <w:tblCellMar>
        <w:left w:w="108" w:type="dxa"/>
        <w:top w:w="0" w:type="dxa"/>
        <w:right w:w="108" w:type="dxa"/>
        <w:bottom w:w="0" w:type="dxa"/>
      </w:tblCellMar>
      <w:tblBorders>
        <w:right w:val="single" w:color="4f81bd" w:themeColor="accent1" w:sz="4" w:space="0"/>
      </w:tblBorders>
    </w:tblPr>
    <w:tcPr>
      <w:tcBorders/>
    </w:tcPr>
    <w:tblStylePr w:type="band1Horz">
      <w:rPr>
        <w:color w:val="2b4b72" w:themeColor="accent1" w:themeShade="95"/>
        <w:sz w:val="22"/>
      </w:rPr>
      <w:pPr>
        <w:pBdr/>
        <w:spacing/>
        <w:ind/>
      </w:pPr>
      <w:tblPr>
        <w:tblBorders/>
      </w:tblPr>
      <w:tcPr>
        <w:shd w:val="clear" w:color="d2dfee" w:fill="d2dfee" w:themeFill="accent1" w:themeFillTint="40"/>
        <w:tcBorders/>
      </w:tcPr>
    </w:tblStylePr>
    <w:tblStylePr w:type="band1Vert">
      <w:pPr>
        <w:pBdr/>
        <w:spacing/>
        <w:ind/>
      </w:pPr>
      <w:tblPr>
        <w:tblBorders/>
      </w:tblPr>
      <w:tcPr>
        <w:shd w:val="clear" w:color="d2dfee" w:fill="d2dfee" w:themeFill="accent1" w:themeFillTint="40"/>
        <w:tcBorders/>
      </w:tcPr>
    </w:tblStylePr>
    <w:tblStylePr w:type="band2Horz">
      <w:rPr>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2b4b72"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i/>
        <w:color w:val="2b4b72" w:themeColor="accent1" w:themeShade="95"/>
        <w:sz w:val="22"/>
      </w:rPr>
      <w:pPr>
        <w:pBdr/>
        <w:spacing/>
        <w:ind/>
      </w:pPr>
      <w:tblPr>
        <w:tblBorders/>
      </w:tblPr>
      <w:tcPr>
        <w:shd w:val="clear" w:color="ffffff"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i/>
        <w:color w:val="2b4b72" w:themeColor="accent1" w:themeShade="95"/>
        <w:sz w:val="22"/>
      </w:rPr>
      <w:pPr>
        <w:pBdr/>
        <w:spacing/>
        <w:ind/>
      </w:pPr>
      <w:tblPr>
        <w:tblBorders/>
      </w:tbl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i/>
        <w:color w:val="2b4b72" w:themeColor="accent1" w:themeShade="95"/>
        <w:sz w:val="22"/>
      </w:rPr>
      <w:pPr>
        <w:pBdr/>
        <w:spacing/>
        <w:ind/>
      </w:pPr>
      <w:tblPr>
        <w:tblBorders/>
      </w:tblPr>
      <w:tcPr>
        <w:shd w:val="clear" w:color="ffffff" w:fill="ffffff" w:themeFill="light1"/>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9" w:customStyle="1">
    <w:name w:val="List Table 7 Colorful - Accent 2"/>
    <w:basedOn w:val="1078"/>
    <w:uiPriority w:val="99"/>
    <w:pPr>
      <w:pBdr/>
      <w:spacing/>
      <w:ind/>
    </w:pPr>
    <w:tblPr>
      <w:tblStyleRowBandSize w:val="1"/>
      <w:tblStyleColBandSize w:val="1"/>
      <w:tblCellMar>
        <w:left w:w="108" w:type="dxa"/>
        <w:top w:w="0" w:type="dxa"/>
        <w:right w:w="108" w:type="dxa"/>
        <w:bottom w:w="0" w:type="dxa"/>
      </w:tblCellMar>
      <w:tblBorders>
        <w:right w:val="single" w:color="d99695" w:themeColor="accent2" w:themeTint="97" w:sz="4" w:space="0"/>
      </w:tblBorders>
    </w:tblPr>
    <w:tcPr>
      <w:tcBorders/>
    </w:tcPr>
    <w:tblStylePr w:type="band1Horz">
      <w:rPr>
        <w:color w:val="9f3b38" w:themeColor="accent2" w:themeTint="97" w:themeShade="95"/>
        <w:sz w:val="22"/>
      </w:rPr>
      <w:pPr>
        <w:pBdr/>
        <w:spacing/>
        <w:ind/>
      </w:pPr>
      <w:tblPr>
        <w:tblBorders/>
      </w:tblPr>
      <w:tcPr>
        <w:shd w:val="clear" w:color="efd2d2" w:fill="efd2d2" w:themeFill="accent2" w:themeFillTint="40"/>
        <w:tcBorders/>
      </w:tcPr>
    </w:tblStylePr>
    <w:tblStylePr w:type="band1Vert">
      <w:pPr>
        <w:pBdr/>
        <w:spacing/>
        <w:ind/>
      </w:pPr>
      <w:tblPr>
        <w:tblBorders/>
      </w:tblPr>
      <w:tcPr>
        <w:shd w:val="clear" w:color="efd2d2" w:fill="efd2d2" w:themeFill="accent2" w:themeFillTint="40"/>
        <w:tcBorders/>
      </w:tcPr>
    </w:tblStylePr>
    <w:tblStylePr w:type="band2Horz">
      <w:rPr>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9f3b38"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sz="4" w:space="0"/>
        </w:tcBorders>
      </w:tcPr>
    </w:tblStylePr>
    <w:tblStylePr w:type="firstRow">
      <w:rPr>
        <w:i/>
        <w:color w:val="9f3b38" w:themeColor="accent2" w:themeTint="97" w:themeShade="95"/>
        <w:sz w:val="22"/>
      </w:rPr>
      <w:pPr>
        <w:pBdr/>
        <w:spacing/>
        <w:ind/>
      </w:pPr>
      <w:tblPr>
        <w:tblBorders/>
      </w:tblPr>
      <w:tcPr>
        <w:shd w:val="clear" w:color="ffffff" w:fill="ffffff" w:themeFill="light1"/>
        <w:tcBorders>
          <w:top w:val="none" w:color="000000" w:sz="4" w:space="0"/>
          <w:left w:val="none" w:color="000000" w:sz="4" w:space="0"/>
          <w:bottom w:val="single" w:color="d99695" w:themeColor="accent2" w:sz="4" w:space="0"/>
          <w:right w:val="none" w:color="000000" w:sz="4" w:space="0"/>
        </w:tcBorders>
      </w:tcPr>
    </w:tblStylePr>
    <w:tblStylePr w:type="lastCol">
      <w:rPr>
        <w:i/>
        <w:color w:val="9f3b38" w:themeColor="accent2" w:themeTint="97" w:themeShade="95"/>
        <w:sz w:val="22"/>
      </w:rPr>
      <w:pPr>
        <w:pBdr/>
        <w:spacing/>
        <w:ind/>
      </w:pPr>
      <w:tblPr>
        <w:tblBorders/>
      </w:tblPr>
      <w:tcPr>
        <w:shd w:val="clear" w:color="ffffff" w:fill="auto"/>
        <w:tcBorders>
          <w:top w:val="none" w:color="000000" w:sz="4" w:space="0"/>
          <w:left w:val="single" w:color="d99695" w:themeColor="accent2" w:sz="4" w:space="0"/>
          <w:bottom w:val="none" w:color="000000" w:sz="4" w:space="0"/>
          <w:right w:val="none" w:color="000000" w:sz="4" w:space="0"/>
        </w:tcBorders>
      </w:tcPr>
    </w:tblStylePr>
    <w:tblStylePr w:type="lastRow">
      <w:rPr>
        <w:i/>
        <w:color w:val="9f3b38" w:themeColor="accent2" w:themeTint="97" w:themeShade="95"/>
        <w:sz w:val="22"/>
      </w:rPr>
      <w:pPr>
        <w:pBdr/>
        <w:spacing/>
        <w:ind/>
      </w:pPr>
      <w:tblPr>
        <w:tblBorders/>
      </w:tblPr>
      <w:tcPr>
        <w:shd w:val="clear" w:color="ffffff" w:fill="ffffff" w:themeFill="light1"/>
        <w:tcBorders>
          <w:top w:val="single" w:color="d99695"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0" w:customStyle="1">
    <w:name w:val="List Table 7 Colorful - Accent 3"/>
    <w:basedOn w:val="1078"/>
    <w:uiPriority w:val="99"/>
    <w:pPr>
      <w:pBdr/>
      <w:spacing/>
      <w:ind/>
    </w:pPr>
    <w:tblPr>
      <w:tblStyleRowBandSize w:val="1"/>
      <w:tblStyleColBandSize w:val="1"/>
      <w:tblCellMar>
        <w:left w:w="108" w:type="dxa"/>
        <w:top w:w="0" w:type="dxa"/>
        <w:right w:w="108" w:type="dxa"/>
        <w:bottom w:w="0" w:type="dxa"/>
      </w:tblCellMar>
      <w:tblBorders>
        <w:right w:val="single" w:color="c3d69b" w:themeColor="accent3" w:themeTint="98" w:sz="4" w:space="0"/>
      </w:tblBorders>
    </w:tblPr>
    <w:tcPr>
      <w:tcBorders/>
    </w:tcPr>
    <w:tblStylePr w:type="band1Horz">
      <w:rPr>
        <w:color w:val="7c9a3f" w:themeColor="accent3" w:themeTint="98" w:themeShade="95"/>
        <w:sz w:val="22"/>
      </w:rPr>
      <w:pPr>
        <w:pBdr/>
        <w:spacing/>
        <w:ind/>
      </w:pPr>
      <w:tblPr>
        <w:tblBorders/>
      </w:tblPr>
      <w:tcPr>
        <w:shd w:val="clear" w:color="e5eed5" w:fill="e5eed5" w:themeFill="accent3" w:themeFillTint="40"/>
        <w:tcBorders/>
      </w:tcPr>
    </w:tblStylePr>
    <w:tblStylePr w:type="band1Vert">
      <w:pPr>
        <w:pBdr/>
        <w:spacing/>
        <w:ind/>
      </w:pPr>
      <w:tblPr>
        <w:tblBorders/>
      </w:tblPr>
      <w:tcPr>
        <w:shd w:val="clear" w:color="e5eed5" w:fill="e5eed5" w:themeFill="accent3" w:themeFillTint="40"/>
        <w:tcBorders/>
      </w:tcPr>
    </w:tblStylePr>
    <w:tblStylePr w:type="band2Horz">
      <w:rPr>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7c9a3f"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3d69b" w:themeColor="accent3" w:sz="4" w:space="0"/>
        </w:tcBorders>
      </w:tcPr>
    </w:tblStylePr>
    <w:tblStylePr w:type="firstRow">
      <w:rPr>
        <w:i/>
        <w:color w:val="7c9a3f" w:themeColor="accent3" w:themeTint="98" w:themeShade="95"/>
        <w:sz w:val="22"/>
      </w:rPr>
      <w:pPr>
        <w:pBdr/>
        <w:spacing/>
        <w:ind/>
      </w:pPr>
      <w:tblPr>
        <w:tblBorders/>
      </w:tblPr>
      <w:tcPr>
        <w:shd w:val="clear" w:color="ffffff" w:fill="ffffff" w:themeFill="light1"/>
        <w:tcBorders>
          <w:top w:val="none" w:color="000000" w:sz="4" w:space="0"/>
          <w:left w:val="none" w:color="000000" w:sz="4" w:space="0"/>
          <w:bottom w:val="single" w:color="c3d69b" w:themeColor="accent3" w:sz="4" w:space="0"/>
          <w:right w:val="none" w:color="000000" w:sz="4" w:space="0"/>
        </w:tcBorders>
      </w:tcPr>
    </w:tblStylePr>
    <w:tblStylePr w:type="lastCol">
      <w:rPr>
        <w:i/>
        <w:color w:val="7c9a3f" w:themeColor="accent3" w:themeTint="98" w:themeShade="95"/>
        <w:sz w:val="22"/>
      </w:rPr>
      <w:pPr>
        <w:pBdr/>
        <w:spacing/>
        <w:ind/>
      </w:pPr>
      <w:tblPr>
        <w:tblBorders/>
      </w:tblPr>
      <w:tcPr>
        <w:shd w:val="clear" w:color="ffffff" w:fill="auto"/>
        <w:tcBorders>
          <w:top w:val="none" w:color="000000" w:sz="4" w:space="0"/>
          <w:left w:val="single" w:color="c3d69b" w:themeColor="accent3" w:sz="4" w:space="0"/>
          <w:bottom w:val="none" w:color="000000" w:sz="4" w:space="0"/>
          <w:right w:val="none" w:color="000000" w:sz="4" w:space="0"/>
        </w:tcBorders>
      </w:tcPr>
    </w:tblStylePr>
    <w:tblStylePr w:type="lastRow">
      <w:rPr>
        <w:i/>
        <w:color w:val="7c9a3f" w:themeColor="accent3" w:themeTint="98" w:themeShade="95"/>
        <w:sz w:val="22"/>
      </w:rPr>
      <w:pPr>
        <w:pBdr/>
        <w:spacing/>
        <w:ind/>
      </w:pPr>
      <w:tblPr>
        <w:tblBorders/>
      </w:tblPr>
      <w:tcPr>
        <w:shd w:val="clear" w:color="ffffff" w:fill="ffffff" w:themeFill="light1"/>
        <w:tcBorders>
          <w:top w:val="single" w:color="c3d69b"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1" w:customStyle="1">
    <w:name w:val="List Table 7 Colorful - Accent 4"/>
    <w:basedOn w:val="1078"/>
    <w:uiPriority w:val="99"/>
    <w:pPr>
      <w:pBdr/>
      <w:spacing/>
      <w:ind/>
    </w:pPr>
    <w:tblPr>
      <w:tblStyleRowBandSize w:val="1"/>
      <w:tblStyleColBandSize w:val="1"/>
      <w:tblCellMar>
        <w:left w:w="108" w:type="dxa"/>
        <w:top w:w="0" w:type="dxa"/>
        <w:right w:w="108" w:type="dxa"/>
        <w:bottom w:w="0" w:type="dxa"/>
      </w:tblCellMar>
      <w:tblBorders>
        <w:right w:val="single" w:color="b2a1c6" w:themeColor="accent4" w:themeTint="9A" w:sz="4" w:space="0"/>
      </w:tblBorders>
    </w:tblPr>
    <w:tcPr>
      <w:tcBorders/>
    </w:tcPr>
    <w:tblStylePr w:type="band1Horz">
      <w:rPr>
        <w:color w:val="674f84" w:themeColor="accent4" w:themeTint="9A" w:themeShade="95"/>
        <w:sz w:val="22"/>
      </w:rPr>
      <w:pPr>
        <w:pBdr/>
        <w:spacing/>
        <w:ind/>
      </w:pPr>
      <w:tblPr>
        <w:tblBorders/>
      </w:tblPr>
      <w:tcPr>
        <w:shd w:val="clear" w:color="dfd8e7" w:fill="dfd8e7" w:themeFill="accent4" w:themeFillTint="40"/>
        <w:tcBorders/>
      </w:tcPr>
    </w:tblStylePr>
    <w:tblStylePr w:type="band1Vert">
      <w:pPr>
        <w:pBdr/>
        <w:spacing/>
        <w:ind/>
      </w:pPr>
      <w:tblPr>
        <w:tblBorders/>
      </w:tblPr>
      <w:tcPr>
        <w:shd w:val="clear" w:color="dfd8e7" w:fill="dfd8e7" w:themeFill="accent4" w:themeFillTint="40"/>
        <w:tcBorders/>
      </w:tcPr>
    </w:tblStylePr>
    <w:tblStylePr w:type="band2Horz">
      <w:rPr>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674f84"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sz="4" w:space="0"/>
        </w:tcBorders>
      </w:tcPr>
    </w:tblStylePr>
    <w:tblStylePr w:type="firstRow">
      <w:rPr>
        <w:i/>
        <w:color w:val="674f84" w:themeColor="accent4" w:themeTint="9A" w:themeShade="95"/>
        <w:sz w:val="22"/>
      </w:rPr>
      <w:pPr>
        <w:pBdr/>
        <w:spacing/>
        <w:ind/>
      </w:pPr>
      <w:tblPr>
        <w:tblBorders/>
      </w:tblPr>
      <w:tcPr>
        <w:shd w:val="clear" w:color="ffffff" w:fill="ffffff" w:themeFill="light1"/>
        <w:tcBorders>
          <w:top w:val="none" w:color="000000" w:sz="4" w:space="0"/>
          <w:left w:val="none" w:color="000000" w:sz="4" w:space="0"/>
          <w:bottom w:val="single" w:color="b2a1c6" w:themeColor="accent4" w:sz="4" w:space="0"/>
          <w:right w:val="none" w:color="000000" w:sz="4" w:space="0"/>
        </w:tcBorders>
      </w:tcPr>
    </w:tblStylePr>
    <w:tblStylePr w:type="lastCol">
      <w:rPr>
        <w:i/>
        <w:color w:val="674f84" w:themeColor="accent4" w:themeTint="9A" w:themeShade="95"/>
        <w:sz w:val="22"/>
      </w:rPr>
      <w:pPr>
        <w:pBdr/>
        <w:spacing/>
        <w:ind/>
      </w:pPr>
      <w:tblPr>
        <w:tblBorders/>
      </w:tblPr>
      <w:tcPr>
        <w:shd w:val="clear" w:color="ffffff" w:fill="auto"/>
        <w:tcBorders>
          <w:top w:val="none" w:color="000000" w:sz="4" w:space="0"/>
          <w:left w:val="single" w:color="b2a1c6" w:themeColor="accent4" w:sz="4" w:space="0"/>
          <w:bottom w:val="none" w:color="000000" w:sz="4" w:space="0"/>
          <w:right w:val="none" w:color="000000" w:sz="4" w:space="0"/>
        </w:tcBorders>
      </w:tcPr>
    </w:tblStylePr>
    <w:tblStylePr w:type="lastRow">
      <w:rPr>
        <w:i/>
        <w:color w:val="674f84" w:themeColor="accent4" w:themeTint="9A" w:themeShade="95"/>
        <w:sz w:val="22"/>
      </w:rPr>
      <w:pPr>
        <w:pBdr/>
        <w:spacing/>
        <w:ind/>
      </w:pPr>
      <w:tblPr>
        <w:tblBorders/>
      </w:tblPr>
      <w:tcPr>
        <w:shd w:val="clear" w:color="ffffff" w:fill="ffffff" w:themeFill="light1"/>
        <w:tcBorders>
          <w:top w:val="single" w:color="b2a1c6"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2" w:customStyle="1">
    <w:name w:val="List Table 7 Colorful - Accent 5"/>
    <w:basedOn w:val="1078"/>
    <w:uiPriority w:val="99"/>
    <w:pPr>
      <w:pBdr/>
      <w:spacing/>
      <w:ind/>
    </w:pPr>
    <w:tblPr>
      <w:tblStyleRowBandSize w:val="1"/>
      <w:tblStyleColBandSize w:val="1"/>
      <w:tblCellMar>
        <w:left w:w="108" w:type="dxa"/>
        <w:top w:w="0" w:type="dxa"/>
        <w:right w:w="108" w:type="dxa"/>
        <w:bottom w:w="0" w:type="dxa"/>
      </w:tblCellMar>
      <w:tblBorders>
        <w:right w:val="single" w:color="92ccdc" w:themeColor="accent5" w:themeTint="9A" w:sz="4" w:space="0"/>
      </w:tblBorders>
    </w:tblPr>
    <w:tcPr>
      <w:tcBorders/>
    </w:tcPr>
    <w:tblStylePr w:type="band1Horz">
      <w:rPr>
        <w:color w:val="348ba3" w:themeColor="accent5" w:themeTint="9A" w:themeShade="95"/>
        <w:sz w:val="22"/>
      </w:rPr>
      <w:pPr>
        <w:pBdr/>
        <w:spacing/>
        <w:ind/>
      </w:pPr>
      <w:tblPr>
        <w:tblBorders/>
      </w:tblPr>
      <w:tcPr>
        <w:shd w:val="clear" w:color="d1eaf0" w:fill="d1eaf0" w:themeFill="accent5" w:themeFillTint="40"/>
        <w:tcBorders/>
      </w:tcPr>
    </w:tblStylePr>
    <w:tblStylePr w:type="band1Vert">
      <w:pPr>
        <w:pBdr/>
        <w:spacing/>
        <w:ind/>
      </w:pPr>
      <w:tblPr>
        <w:tblBorders/>
      </w:tblPr>
      <w:tcPr>
        <w:shd w:val="clear" w:color="d1eaf0" w:fill="d1eaf0" w:themeFill="accent5" w:themeFillTint="40"/>
        <w:tcBorders/>
      </w:tcPr>
    </w:tblStylePr>
    <w:tblStylePr w:type="band2Horz">
      <w:rPr>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348ba3"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2ccdc" w:themeColor="accent5" w:sz="4" w:space="0"/>
        </w:tcBorders>
      </w:tcPr>
    </w:tblStylePr>
    <w:tblStylePr w:type="firstRow">
      <w:rPr>
        <w:i/>
        <w:color w:val="348ba3" w:themeColor="accent5" w:themeTint="9A" w:themeShade="95"/>
        <w:sz w:val="22"/>
      </w:rPr>
      <w:pPr>
        <w:pBdr/>
        <w:spacing/>
        <w:ind/>
      </w:pPr>
      <w:tblPr>
        <w:tblBorders/>
      </w:tblPr>
      <w:tcPr>
        <w:shd w:val="clear" w:color="ffffff" w:fill="ffffff" w:themeFill="light1"/>
        <w:tcBorders>
          <w:top w:val="none" w:color="000000" w:sz="4" w:space="0"/>
          <w:left w:val="none" w:color="000000" w:sz="4" w:space="0"/>
          <w:bottom w:val="single" w:color="92ccdc" w:themeColor="accent5" w:sz="4" w:space="0"/>
          <w:right w:val="none" w:color="000000" w:sz="4" w:space="0"/>
        </w:tcBorders>
      </w:tcPr>
    </w:tblStylePr>
    <w:tblStylePr w:type="lastCol">
      <w:rPr>
        <w:i/>
        <w:color w:val="348ba3" w:themeColor="accent5" w:themeTint="9A" w:themeShade="95"/>
        <w:sz w:val="22"/>
      </w:rPr>
      <w:pPr>
        <w:pBdr/>
        <w:spacing/>
        <w:ind/>
      </w:pPr>
      <w:tblPr>
        <w:tblBorders/>
      </w:tblPr>
      <w:tcPr>
        <w:shd w:val="clear" w:color="ffffff" w:fill="auto"/>
        <w:tcBorders>
          <w:top w:val="none" w:color="000000" w:sz="4" w:space="0"/>
          <w:left w:val="single" w:color="92ccdc" w:themeColor="accent5" w:sz="4" w:space="0"/>
          <w:bottom w:val="none" w:color="000000" w:sz="4" w:space="0"/>
          <w:right w:val="none" w:color="000000" w:sz="4" w:space="0"/>
        </w:tcBorders>
      </w:tcPr>
    </w:tblStylePr>
    <w:tblStylePr w:type="lastRow">
      <w:rPr>
        <w:i/>
        <w:color w:val="348ba3" w:themeColor="accent5" w:themeTint="9A" w:themeShade="95"/>
        <w:sz w:val="22"/>
      </w:rPr>
      <w:pPr>
        <w:pBdr/>
        <w:spacing/>
        <w:ind/>
      </w:pPr>
      <w:tblPr>
        <w:tblBorders/>
      </w:tblPr>
      <w:tcPr>
        <w:shd w:val="clear" w:color="ffffff" w:fill="ffffff" w:themeFill="light1"/>
        <w:tcBorders>
          <w:top w:val="single" w:color="92ccdc"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3" w:customStyle="1">
    <w:name w:val="List Table 7 Colorful - Accent 6"/>
    <w:basedOn w:val="1078"/>
    <w:uiPriority w:val="99"/>
    <w:pPr>
      <w:pBdr/>
      <w:spacing/>
      <w:ind/>
    </w:pPr>
    <w:tblPr>
      <w:tblStyleRowBandSize w:val="1"/>
      <w:tblStyleColBandSize w:val="1"/>
      <w:tblCellMar>
        <w:left w:w="108" w:type="dxa"/>
        <w:top w:w="0" w:type="dxa"/>
        <w:right w:w="108" w:type="dxa"/>
        <w:bottom w:w="0" w:type="dxa"/>
      </w:tblCellMar>
      <w:tblBorders>
        <w:right w:val="single" w:color="fac090" w:themeColor="accent6" w:themeTint="98" w:sz="4" w:space="0"/>
      </w:tblBorders>
    </w:tblPr>
    <w:tcPr>
      <w:tcBorders/>
    </w:tcPr>
    <w:tblStylePr w:type="band1Horz">
      <w:rPr>
        <w:color w:val="dd690a" w:themeColor="accent6" w:themeTint="98" w:themeShade="95"/>
        <w:sz w:val="22"/>
      </w:rPr>
      <w:pPr>
        <w:pBdr/>
        <w:spacing/>
        <w:ind/>
      </w:pPr>
      <w:tblPr>
        <w:tblBorders/>
      </w:tblPr>
      <w:tcPr>
        <w:shd w:val="clear" w:color="fde4d0" w:fill="fde4d0" w:themeFill="accent6" w:themeFillTint="40"/>
        <w:tcBorders/>
      </w:tcPr>
    </w:tblStylePr>
    <w:tblStylePr w:type="band1Vert">
      <w:pPr>
        <w:pBdr/>
        <w:spacing/>
        <w:ind/>
      </w:pPr>
      <w:tblPr>
        <w:tblBorders/>
      </w:tblPr>
      <w:tcPr>
        <w:shd w:val="clear" w:color="fde4d0" w:fill="fde4d0" w:themeFill="accent6" w:themeFillTint="40"/>
        <w:tcBorders/>
      </w:tcPr>
    </w:tblStylePr>
    <w:tblStylePr w:type="band2Horz">
      <w:rPr>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dd690a"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090" w:themeColor="accent6" w:sz="4" w:space="0"/>
        </w:tcBorders>
      </w:tcPr>
    </w:tblStylePr>
    <w:tblStylePr w:type="firstRow">
      <w:rPr>
        <w:i/>
        <w:color w:val="dd690a" w:themeColor="accent6" w:themeTint="98" w:themeShade="95"/>
        <w:sz w:val="22"/>
      </w:rPr>
      <w:pPr>
        <w:pBdr/>
        <w:spacing/>
        <w:ind/>
      </w:pPr>
      <w:tblPr>
        <w:tblBorders/>
      </w:tblPr>
      <w:tcPr>
        <w:shd w:val="clear" w:color="ffffff" w:fill="ffffff" w:themeFill="light1"/>
        <w:tcBorders>
          <w:top w:val="none" w:color="000000" w:sz="4" w:space="0"/>
          <w:left w:val="none" w:color="000000" w:sz="4" w:space="0"/>
          <w:bottom w:val="single" w:color="fac090" w:themeColor="accent6" w:sz="4" w:space="0"/>
          <w:right w:val="none" w:color="000000" w:sz="4" w:space="0"/>
        </w:tcBorders>
      </w:tcPr>
    </w:tblStylePr>
    <w:tblStylePr w:type="lastCol">
      <w:rPr>
        <w:i/>
        <w:color w:val="dd690a" w:themeColor="accent6" w:themeTint="98" w:themeShade="95"/>
        <w:sz w:val="22"/>
      </w:rPr>
      <w:pPr>
        <w:pBdr/>
        <w:spacing/>
        <w:ind/>
      </w:pPr>
      <w:tblPr>
        <w:tblBorders/>
      </w:tblPr>
      <w:tcPr>
        <w:shd w:val="clear" w:color="ffffff" w:fill="auto"/>
        <w:tcBorders>
          <w:top w:val="none" w:color="000000" w:sz="4" w:space="0"/>
          <w:left w:val="single" w:color="fac090" w:themeColor="accent6" w:sz="4" w:space="0"/>
          <w:bottom w:val="none" w:color="000000" w:sz="4" w:space="0"/>
          <w:right w:val="none" w:color="000000" w:sz="4" w:space="0"/>
        </w:tcBorders>
      </w:tcPr>
    </w:tblStylePr>
    <w:tblStylePr w:type="lastRow">
      <w:rPr>
        <w:i/>
        <w:color w:val="dd690a" w:themeColor="accent6" w:themeTint="98" w:themeShade="95"/>
        <w:sz w:val="22"/>
      </w:rPr>
      <w:pPr>
        <w:pBdr/>
        <w:spacing/>
        <w:ind/>
      </w:pPr>
      <w:tblPr>
        <w:tblBorders/>
      </w:tblPr>
      <w:tcPr>
        <w:shd w:val="clear" w:color="ffffff" w:fill="ffffff" w:themeFill="light1"/>
        <w:tcBorders>
          <w:top w:val="single" w:color="fac09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4" w:customStyle="1">
    <w:name w:val="Lined - Accent"/>
    <w:basedOn w:val="1078"/>
    <w:uiPriority w:val="99"/>
    <w:pPr>
      <w:pBdr/>
      <w:spacing/>
      <w:ind/>
    </w:pPr>
    <w:rPr>
      <w:lang w:eastAsia="en-GB"/>
    </w:rPr>
    <w:tblPr>
      <w:tblStyleRowBandSize w:val="1"/>
      <w:tblStyleColBandSize w:val="1"/>
      <w:tblCellMar>
        <w:left w:w="108" w:type="dxa"/>
        <w:top w:w="0" w:type="dxa"/>
        <w:right w:w="108" w:type="dxa"/>
        <w:bottom w:w="0" w:type="dxa"/>
      </w:tblCellMar>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f2f2f2" w:fill="f2f2f2" w:themeFill="text1" w:themeFillTint="00"/>
        <w:tcBorders/>
      </w:tcPr>
    </w:tblStylePr>
    <w:tblStylePr w:type="band2Vert">
      <w:rPr>
        <w:sz w:val="22"/>
      </w:rPr>
      <w:pPr>
        <w:pBdr/>
        <w:spacing/>
        <w:ind/>
      </w:pPr>
      <w:tblPr>
        <w:tblBorders/>
      </w:tblPr>
      <w:tcPr>
        <w:shd w:val="clear" w:color="f2f2f2" w:fill="f2f2f2" w:themeFill="text1" w:themeFillTint="00"/>
        <w:tcBorders/>
      </w:tcPr>
    </w:tblStylePr>
    <w:tblStylePr w:type="firstCol">
      <w:rPr>
        <w:sz w:val="22"/>
      </w:rPr>
      <w:pPr>
        <w:pBdr/>
        <w:spacing/>
        <w:ind/>
      </w:pPr>
      <w:tblPr>
        <w:tblBorders/>
      </w:tblPr>
      <w:tcPr>
        <w:shd w:val="clear" w:color="7f7f7f" w:fill="7f7f7f" w:themeFill="text1" w:themeFillTint="80"/>
        <w:tcBorders/>
      </w:tcPr>
    </w:tblStylePr>
    <w:tblStylePr w:type="firstRow">
      <w:rPr>
        <w:sz w:val="22"/>
      </w:rPr>
      <w:pPr>
        <w:pBdr/>
        <w:spacing/>
        <w:ind/>
      </w:pPr>
      <w:tblPr>
        <w:tblBorders/>
      </w:tblPr>
      <w:tcPr>
        <w:shd w:val="clear" w:color="7f7f7f" w:fill="7f7f7f" w:themeFill="text1" w:themeFillTint="80"/>
        <w:tcBorders/>
      </w:tcPr>
    </w:tblStylePr>
    <w:tblStylePr w:type="lastCol">
      <w:rPr>
        <w:sz w:val="22"/>
      </w:rPr>
      <w:pPr>
        <w:pBdr/>
        <w:spacing/>
        <w:ind/>
      </w:pPr>
      <w:tblPr>
        <w:tblBorders/>
      </w:tblPr>
      <w:tcPr>
        <w:shd w:val="clear" w:color="7f7f7f" w:fill="7f7f7f" w:themeFill="text1" w:themeFillTint="80"/>
        <w:tcBorders/>
      </w:tcPr>
    </w:tblStylePr>
    <w:tblStylePr w:type="lastRow">
      <w:rPr>
        <w:sz w:val="22"/>
      </w:rPr>
      <w:pPr>
        <w:pBdr/>
        <w:spacing/>
        <w:ind/>
      </w:pPr>
      <w:tblPr>
        <w:tblBorders/>
      </w:tblPr>
      <w:tcPr>
        <w:shd w:val="clear" w:color="7f7f7f"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5" w:customStyle="1">
    <w:name w:val="Lined - Accent 1"/>
    <w:basedOn w:val="1078"/>
    <w:uiPriority w:val="99"/>
    <w:pPr>
      <w:pBdr/>
      <w:spacing/>
      <w:ind/>
    </w:pPr>
    <w:rPr>
      <w:lang w:eastAsia="en-GB"/>
    </w:rPr>
    <w:tblPr>
      <w:tblStyleRowBandSize w:val="1"/>
      <w:tblStyleColBandSize w:val="1"/>
      <w:tblCellMar>
        <w:left w:w="108" w:type="dxa"/>
        <w:top w:w="0" w:type="dxa"/>
        <w:right w:w="108" w:type="dxa"/>
        <w:bottom w:w="0" w:type="dxa"/>
      </w:tblCellMar>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c7d7ea" w:fill="c7d7ea" w:themeFill="accent1" w:themeFillTint="50"/>
        <w:tcBorders/>
      </w:tcPr>
    </w:tblStylePr>
    <w:tblStylePr w:type="band2Vert">
      <w:rPr>
        <w:sz w:val="22"/>
      </w:rPr>
      <w:pPr>
        <w:pBdr/>
        <w:spacing/>
        <w:ind/>
      </w:pPr>
      <w:tblPr>
        <w:tblBorders/>
      </w:tblPr>
      <w:tcPr>
        <w:shd w:val="clear" w:color="c7d7ea" w:fill="c7d7ea" w:themeFill="accent1" w:themeFillTint="50"/>
        <w:tcBorders/>
      </w:tcPr>
    </w:tblStylePr>
    <w:tblStylePr w:type="firstCol">
      <w:rPr>
        <w:sz w:val="22"/>
      </w:rPr>
      <w:pPr>
        <w:pBdr/>
        <w:spacing/>
        <w:ind/>
      </w:pPr>
      <w:tblPr>
        <w:tblBorders/>
      </w:tblPr>
      <w:tcPr>
        <w:shd w:val="clear" w:color="5d8ac2" w:fill="5d8ac2" w:themeFill="accent1" w:themeFillTint="EA"/>
        <w:tcBorders/>
      </w:tcPr>
    </w:tblStylePr>
    <w:tblStylePr w:type="firstRow">
      <w:rPr>
        <w:sz w:val="22"/>
      </w:rPr>
      <w:pPr>
        <w:pBdr/>
        <w:spacing/>
        <w:ind/>
      </w:pPr>
      <w:tblPr>
        <w:tblBorders/>
      </w:tblPr>
      <w:tcPr>
        <w:shd w:val="clear" w:color="5d8ac2" w:fill="5d8ac2" w:themeFill="accent1" w:themeFillTint="EA"/>
        <w:tcBorders/>
      </w:tcPr>
    </w:tblStylePr>
    <w:tblStylePr w:type="lastCol">
      <w:rPr>
        <w:sz w:val="22"/>
      </w:rPr>
      <w:pPr>
        <w:pBdr/>
        <w:spacing/>
        <w:ind/>
      </w:pPr>
      <w:tblPr>
        <w:tblBorders/>
      </w:tblPr>
      <w:tcPr>
        <w:shd w:val="clear" w:color="5d8ac2" w:fill="5d8ac2" w:themeFill="accent1" w:themeFillTint="EA"/>
        <w:tcBorders/>
      </w:tcPr>
    </w:tblStylePr>
    <w:tblStylePr w:type="lastRow">
      <w:rPr>
        <w:sz w:val="22"/>
      </w:rPr>
      <w:pPr>
        <w:pBdr/>
        <w:spacing/>
        <w:ind/>
      </w:pPr>
      <w:tblPr>
        <w:tblBorders/>
      </w:tblPr>
      <w:tcPr>
        <w:shd w:val="clear" w:color="5d8ac2"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6" w:customStyle="1">
    <w:name w:val="Lined - Accent 2"/>
    <w:basedOn w:val="1078"/>
    <w:uiPriority w:val="99"/>
    <w:pPr>
      <w:pBdr/>
      <w:spacing/>
      <w:ind/>
    </w:pPr>
    <w:rPr>
      <w:lang w:eastAsia="en-GB"/>
    </w:rPr>
    <w:tblPr>
      <w:tblStyleRowBandSize w:val="1"/>
      <w:tblStyleColBandSize w:val="1"/>
      <w:tblCellMar>
        <w:left w:w="108" w:type="dxa"/>
        <w:top w:w="0" w:type="dxa"/>
        <w:right w:w="108" w:type="dxa"/>
        <w:bottom w:w="0" w:type="dxa"/>
      </w:tblCellMar>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f2dcdc" w:fill="f2dcdc" w:themeFill="accent2" w:themeFillTint="32"/>
        <w:tcBorders/>
      </w:tcPr>
    </w:tblStylePr>
    <w:tblStylePr w:type="band2Vert">
      <w:rPr>
        <w:sz w:val="22"/>
      </w:rPr>
      <w:pPr>
        <w:pBdr/>
        <w:spacing/>
        <w:ind/>
      </w:pPr>
      <w:tblPr>
        <w:tblBorders/>
      </w:tblPr>
      <w:tcPr>
        <w:shd w:val="clear" w:color="f2dcdc" w:fill="f2dcdc" w:themeFill="accent2" w:themeFillTint="32"/>
        <w:tcBorders/>
      </w:tcPr>
    </w:tblStylePr>
    <w:tblStylePr w:type="firstCol">
      <w:rPr>
        <w:sz w:val="22"/>
      </w:rPr>
      <w:pPr>
        <w:pBdr/>
        <w:spacing/>
        <w:ind/>
      </w:pPr>
      <w:tblPr>
        <w:tblBorders/>
      </w:tblPr>
      <w:tcPr>
        <w:shd w:val="clear" w:color="d99695" w:fill="d99695" w:themeFill="accent2" w:themeFillTint="97"/>
        <w:tcBorders/>
      </w:tcPr>
    </w:tblStylePr>
    <w:tblStylePr w:type="firstRow">
      <w:rPr>
        <w:sz w:val="22"/>
      </w:rPr>
      <w:pPr>
        <w:pBdr/>
        <w:spacing/>
        <w:ind/>
      </w:pPr>
      <w:tblPr>
        <w:tblBorders/>
      </w:tblPr>
      <w:tcPr>
        <w:shd w:val="clear" w:color="d99695" w:fill="d99695" w:themeFill="accent2" w:themeFillTint="97"/>
        <w:tcBorders/>
      </w:tcPr>
    </w:tblStylePr>
    <w:tblStylePr w:type="lastCol">
      <w:rPr>
        <w:sz w:val="22"/>
      </w:rPr>
      <w:pPr>
        <w:pBdr/>
        <w:spacing/>
        <w:ind/>
      </w:pPr>
      <w:tblPr>
        <w:tblBorders/>
      </w:tblPr>
      <w:tcPr>
        <w:shd w:val="clear" w:color="d99695" w:fill="d99695" w:themeFill="accent2" w:themeFillTint="97"/>
        <w:tcBorders/>
      </w:tcPr>
    </w:tblStylePr>
    <w:tblStylePr w:type="lastRow">
      <w:rPr>
        <w:sz w:val="22"/>
      </w:rPr>
      <w:pPr>
        <w:pBdr/>
        <w:spacing/>
        <w:ind/>
      </w:pPr>
      <w:tblPr>
        <w:tblBorders/>
      </w:tblPr>
      <w:tcPr>
        <w:shd w:val="clear" w:color="d99695"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7" w:customStyle="1">
    <w:name w:val="Lined - Accent 3"/>
    <w:basedOn w:val="1078"/>
    <w:uiPriority w:val="99"/>
    <w:pPr>
      <w:pBdr/>
      <w:spacing/>
      <w:ind/>
    </w:pPr>
    <w:rPr>
      <w:lang w:eastAsia="en-GB"/>
    </w:rPr>
    <w:tblPr>
      <w:tblStyleRowBandSize w:val="1"/>
      <w:tblStyleColBandSize w:val="1"/>
      <w:tblCellMar>
        <w:left w:w="108" w:type="dxa"/>
        <w:top w:w="0" w:type="dxa"/>
        <w:right w:w="108" w:type="dxa"/>
        <w:bottom w:w="0" w:type="dxa"/>
      </w:tblCellMar>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eaf1dc" w:fill="eaf1dc" w:themeFill="accent3" w:themeFillTint="34"/>
        <w:tcBorders/>
      </w:tcPr>
    </w:tblStylePr>
    <w:tblStylePr w:type="band2Vert">
      <w:rPr>
        <w:sz w:val="22"/>
      </w:rPr>
      <w:pPr>
        <w:pBdr/>
        <w:spacing/>
        <w:ind/>
      </w:pPr>
      <w:tblPr>
        <w:tblBorders/>
      </w:tblPr>
      <w:tcPr>
        <w:shd w:val="clear" w:color="eaf1dc" w:fill="eaf1dc" w:themeFill="accent3" w:themeFillTint="34"/>
        <w:tcBorders/>
      </w:tcPr>
    </w:tblStylePr>
    <w:tblStylePr w:type="firstCol">
      <w:rPr>
        <w:sz w:val="22"/>
      </w:rPr>
      <w:pPr>
        <w:pBdr/>
        <w:spacing/>
        <w:ind/>
      </w:pPr>
      <w:tblPr>
        <w:tblBorders/>
      </w:tblPr>
      <w:tcPr>
        <w:shd w:val="clear" w:color="9abb59" w:fill="9abb59" w:themeFill="accent3" w:themeFillTint="FE"/>
        <w:tcBorders/>
      </w:tcPr>
    </w:tblStylePr>
    <w:tblStylePr w:type="firstRow">
      <w:rPr>
        <w:sz w:val="22"/>
      </w:rPr>
      <w:pPr>
        <w:pBdr/>
        <w:spacing/>
        <w:ind/>
      </w:pPr>
      <w:tblPr>
        <w:tblBorders/>
      </w:tblPr>
      <w:tcPr>
        <w:shd w:val="clear" w:color="9abb59" w:fill="9abb59" w:themeFill="accent3" w:themeFillTint="FE"/>
        <w:tcBorders/>
      </w:tcPr>
    </w:tblStylePr>
    <w:tblStylePr w:type="lastCol">
      <w:rPr>
        <w:sz w:val="22"/>
      </w:rPr>
      <w:pPr>
        <w:pBdr/>
        <w:spacing/>
        <w:ind/>
      </w:pPr>
      <w:tblPr>
        <w:tblBorders/>
      </w:tblPr>
      <w:tcPr>
        <w:shd w:val="clear" w:color="9abb59" w:fill="9abb59" w:themeFill="accent3" w:themeFillTint="FE"/>
        <w:tcBorders/>
      </w:tcPr>
    </w:tblStylePr>
    <w:tblStylePr w:type="lastRow">
      <w:rPr>
        <w:sz w:val="22"/>
      </w:rPr>
      <w:pPr>
        <w:pBdr/>
        <w:spacing/>
        <w:ind/>
      </w:pPr>
      <w:tblPr>
        <w:tblBorders/>
      </w:tblPr>
      <w:tcPr>
        <w:shd w:val="clear" w:color="9abb59"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8" w:customStyle="1">
    <w:name w:val="Lined - Accent 4"/>
    <w:basedOn w:val="1078"/>
    <w:uiPriority w:val="99"/>
    <w:pPr>
      <w:pBdr/>
      <w:spacing/>
      <w:ind/>
    </w:pPr>
    <w:rPr>
      <w:lang w:eastAsia="en-GB"/>
    </w:rPr>
    <w:tblPr>
      <w:tblStyleRowBandSize w:val="1"/>
      <w:tblStyleColBandSize w:val="1"/>
      <w:tblCellMar>
        <w:left w:w="108" w:type="dxa"/>
        <w:top w:w="0" w:type="dxa"/>
        <w:right w:w="108" w:type="dxa"/>
        <w:bottom w:w="0" w:type="dxa"/>
      </w:tblCellMar>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e5dfec" w:fill="e5dfec" w:themeFill="accent4" w:themeFillTint="34"/>
        <w:tcBorders/>
      </w:tcPr>
    </w:tblStylePr>
    <w:tblStylePr w:type="band2Vert">
      <w:rPr>
        <w:sz w:val="22"/>
      </w:rPr>
      <w:pPr>
        <w:pBdr/>
        <w:spacing/>
        <w:ind/>
      </w:pPr>
      <w:tblPr>
        <w:tblBorders/>
      </w:tblPr>
      <w:tcPr>
        <w:shd w:val="clear" w:color="e5dfec" w:fill="e5dfec" w:themeFill="accent4" w:themeFillTint="34"/>
        <w:tcBorders/>
      </w:tcPr>
    </w:tblStylePr>
    <w:tblStylePr w:type="firstCol">
      <w:rPr>
        <w:sz w:val="22"/>
      </w:rPr>
      <w:pPr>
        <w:pBdr/>
        <w:spacing/>
        <w:ind/>
      </w:pPr>
      <w:tblPr>
        <w:tblBorders/>
      </w:tblPr>
      <w:tcPr>
        <w:shd w:val="clear" w:color="b2a1c6" w:fill="b2a1c6" w:themeFill="accent4" w:themeFillTint="9A"/>
        <w:tcBorders/>
      </w:tcPr>
    </w:tblStylePr>
    <w:tblStylePr w:type="firstRow">
      <w:rPr>
        <w:sz w:val="22"/>
      </w:rPr>
      <w:pPr>
        <w:pBdr/>
        <w:spacing/>
        <w:ind/>
      </w:pPr>
      <w:tblPr>
        <w:tblBorders/>
      </w:tblPr>
      <w:tcPr>
        <w:shd w:val="clear" w:color="b2a1c6" w:fill="b2a1c6" w:themeFill="accent4" w:themeFillTint="9A"/>
        <w:tcBorders/>
      </w:tcPr>
    </w:tblStylePr>
    <w:tblStylePr w:type="lastCol">
      <w:rPr>
        <w:sz w:val="22"/>
      </w:rPr>
      <w:pPr>
        <w:pBdr/>
        <w:spacing/>
        <w:ind/>
      </w:pPr>
      <w:tblPr>
        <w:tblBorders/>
      </w:tblPr>
      <w:tcPr>
        <w:shd w:val="clear" w:color="b2a1c6" w:fill="b2a1c6" w:themeFill="accent4" w:themeFillTint="9A"/>
        <w:tcBorders/>
      </w:tcPr>
    </w:tblStylePr>
    <w:tblStylePr w:type="lastRow">
      <w:rPr>
        <w:sz w:val="22"/>
      </w:rPr>
      <w:pPr>
        <w:pBdr/>
        <w:spacing/>
        <w:ind/>
      </w:pPr>
      <w:tblPr>
        <w:tblBorders/>
      </w:tblPr>
      <w:tcPr>
        <w:shd w:val="clear" w:color="b2a1c6"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9" w:customStyle="1">
    <w:name w:val="Lined - Accent 5"/>
    <w:basedOn w:val="1078"/>
    <w:uiPriority w:val="99"/>
    <w:pPr>
      <w:pBdr/>
      <w:spacing/>
      <w:ind/>
    </w:pPr>
    <w:rPr>
      <w:lang w:eastAsia="en-GB"/>
    </w:rPr>
    <w:tblPr>
      <w:tblStyleRowBandSize w:val="1"/>
      <w:tblStyleColBandSize w:val="1"/>
      <w:tblCellMar>
        <w:left w:w="108" w:type="dxa"/>
        <w:top w:w="0" w:type="dxa"/>
        <w:right w:w="108" w:type="dxa"/>
        <w:bottom w:w="0" w:type="dxa"/>
      </w:tblCellMar>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daeef3" w:fill="daeef3" w:themeFill="accent5" w:themeFillTint="34"/>
        <w:tcBorders/>
      </w:tcPr>
    </w:tblStylePr>
    <w:tblStylePr w:type="band2Vert">
      <w:rPr>
        <w:sz w:val="22"/>
      </w:rPr>
      <w:pPr>
        <w:pBdr/>
        <w:spacing/>
        <w:ind/>
      </w:pPr>
      <w:tblPr>
        <w:tblBorders/>
      </w:tblPr>
      <w:tcPr>
        <w:shd w:val="clear" w:color="daeef3" w:fill="daeef3" w:themeFill="accent5" w:themeFillTint="34"/>
        <w:tcBorders/>
      </w:tcPr>
    </w:tblStylePr>
    <w:tblStylePr w:type="firstCol">
      <w:rPr>
        <w:sz w:val="22"/>
      </w:rPr>
      <w:pPr>
        <w:pBdr/>
        <w:spacing/>
        <w:ind/>
      </w:pPr>
      <w:tblPr>
        <w:tblBorders/>
      </w:tblPr>
      <w:tcPr>
        <w:shd w:val="clear" w:color="4bacc6" w:fill="4bacc6" w:themeFill="accent5"/>
        <w:tcBorders/>
      </w:tcPr>
    </w:tblStylePr>
    <w:tblStylePr w:type="firstRow">
      <w:rPr>
        <w:sz w:val="22"/>
      </w:rPr>
      <w:pPr>
        <w:pBdr/>
        <w:spacing/>
        <w:ind/>
      </w:pPr>
      <w:tblPr>
        <w:tblBorders/>
      </w:tblPr>
      <w:tcPr>
        <w:shd w:val="clear" w:color="4bacc6" w:fill="4bacc6" w:themeFill="accent5"/>
        <w:tcBorders/>
      </w:tcPr>
    </w:tblStylePr>
    <w:tblStylePr w:type="lastCol">
      <w:rPr>
        <w:sz w:val="22"/>
      </w:rPr>
      <w:pPr>
        <w:pBdr/>
        <w:spacing/>
        <w:ind/>
      </w:pPr>
      <w:tblPr>
        <w:tblBorders/>
      </w:tblPr>
      <w:tcPr>
        <w:shd w:val="clear" w:color="4bacc6" w:fill="4bacc6" w:themeFill="accent5"/>
        <w:tcBorders/>
      </w:tcPr>
    </w:tblStylePr>
    <w:tblStylePr w:type="lastRow">
      <w:rPr>
        <w:sz w:val="22"/>
      </w:rPr>
      <w:pPr>
        <w:pBdr/>
        <w:spacing/>
        <w:ind/>
      </w:pPr>
      <w:tblPr>
        <w:tblBorders/>
      </w:tblPr>
      <w:tcPr>
        <w:shd w:val="clear" w:color="4bacc6"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0" w:customStyle="1">
    <w:name w:val="Lined - Accent 6"/>
    <w:basedOn w:val="1078"/>
    <w:uiPriority w:val="99"/>
    <w:pPr>
      <w:pBdr/>
      <w:spacing/>
      <w:ind/>
    </w:pPr>
    <w:rPr>
      <w:lang w:eastAsia="en-GB"/>
    </w:rPr>
    <w:tblPr>
      <w:tblStyleRowBandSize w:val="1"/>
      <w:tblStyleColBandSize w:val="1"/>
      <w:tblCellMar>
        <w:left w:w="108" w:type="dxa"/>
        <w:top w:w="0" w:type="dxa"/>
        <w:right w:w="108" w:type="dxa"/>
        <w:bottom w:w="0" w:type="dxa"/>
      </w:tblCellMar>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fde9d8" w:fill="fde9d8" w:themeFill="accent6" w:themeFillTint="34"/>
        <w:tcBorders/>
      </w:tcPr>
    </w:tblStylePr>
    <w:tblStylePr w:type="band2Vert">
      <w:rPr>
        <w:sz w:val="22"/>
      </w:rPr>
      <w:pPr>
        <w:pBdr/>
        <w:spacing/>
        <w:ind/>
      </w:pPr>
      <w:tblPr>
        <w:tblBorders/>
      </w:tblPr>
      <w:tcPr>
        <w:shd w:val="clear" w:color="fde9d8" w:fill="fde9d8" w:themeFill="accent6" w:themeFillTint="34"/>
        <w:tcBorders/>
      </w:tcPr>
    </w:tblStylePr>
    <w:tblStylePr w:type="firstCol">
      <w:rPr>
        <w:sz w:val="22"/>
      </w:rPr>
      <w:pPr>
        <w:pBdr/>
        <w:spacing/>
        <w:ind/>
      </w:pPr>
      <w:tblPr>
        <w:tblBorders/>
      </w:tblPr>
      <w:tcPr>
        <w:shd w:val="clear" w:color="f79646" w:fill="f79646" w:themeFill="accent6"/>
        <w:tcBorders/>
      </w:tcPr>
    </w:tblStylePr>
    <w:tblStylePr w:type="firstRow">
      <w:rPr>
        <w:sz w:val="22"/>
      </w:rPr>
      <w:pPr>
        <w:pBdr/>
        <w:spacing/>
        <w:ind/>
      </w:pPr>
      <w:tblPr>
        <w:tblBorders/>
      </w:tblPr>
      <w:tcPr>
        <w:shd w:val="clear" w:color="f79646" w:fill="f79646" w:themeFill="accent6"/>
        <w:tcBorders/>
      </w:tcPr>
    </w:tblStylePr>
    <w:tblStylePr w:type="lastCol">
      <w:rPr>
        <w:sz w:val="22"/>
      </w:rPr>
      <w:pPr>
        <w:pBdr/>
        <w:spacing/>
        <w:ind/>
      </w:pPr>
      <w:tblPr>
        <w:tblBorders/>
      </w:tblPr>
      <w:tcPr>
        <w:shd w:val="clear" w:color="f79646" w:fill="f79646" w:themeFill="accent6"/>
        <w:tcBorders/>
      </w:tcPr>
    </w:tblStylePr>
    <w:tblStylePr w:type="lastRow">
      <w:rPr>
        <w:sz w:val="22"/>
      </w:rPr>
      <w:pPr>
        <w:pBdr/>
        <w:spacing/>
        <w:ind/>
      </w:pPr>
      <w:tblPr>
        <w:tblBorders/>
      </w:tblPr>
      <w:tcPr>
        <w:shd w:val="clear" w:color="f7964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1" w:customStyle="1">
    <w:name w:val="Bordered &amp; Lined - Accent"/>
    <w:basedOn w:val="1078"/>
    <w:uiPriority w:val="99"/>
    <w:pPr>
      <w:pBdr/>
      <w:spacing/>
      <w:ind/>
    </w:pPr>
    <w:rPr>
      <w:lang w:eastAsia="en-GB"/>
    </w:rPr>
    <w:tblPr>
      <w:tblStyleRowBandSize w:val="1"/>
      <w:tblStyleColBandSize w:val="1"/>
      <w:tblCellMar>
        <w:left w:w="108" w:type="dxa"/>
        <w:top w:w="0" w:type="dxa"/>
        <w:right w:w="108" w:type="dxa"/>
        <w:bottom w:w="0" w:type="dxa"/>
      </w:tblCellMar>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f2f2f2" w:fill="f2f2f2" w:themeFill="text1" w:themeFillTint="00"/>
        <w:tcBorders/>
      </w:tcPr>
    </w:tblStylePr>
    <w:tblStylePr w:type="band2Vert">
      <w:rPr>
        <w:sz w:val="22"/>
      </w:rPr>
      <w:pPr>
        <w:pBdr/>
        <w:spacing/>
        <w:ind/>
      </w:pPr>
      <w:tblPr>
        <w:tblBorders/>
      </w:tblPr>
      <w:tcPr>
        <w:shd w:val="clear" w:color="f2f2f2" w:fill="f2f2f2" w:themeFill="text1" w:themeFillTint="00"/>
        <w:tcBorders/>
      </w:tcPr>
    </w:tblStylePr>
    <w:tblStylePr w:type="firstCol">
      <w:rPr>
        <w:sz w:val="22"/>
      </w:rPr>
      <w:pPr>
        <w:pBdr/>
        <w:spacing/>
        <w:ind/>
      </w:pPr>
      <w:tblPr>
        <w:tblBorders/>
      </w:tblPr>
      <w:tcPr>
        <w:shd w:val="clear" w:color="7f7f7f" w:fill="7f7f7f" w:themeFill="text1" w:themeFillTint="80"/>
        <w:tcBorders/>
      </w:tcPr>
    </w:tblStylePr>
    <w:tblStylePr w:type="firstRow">
      <w:rPr>
        <w:sz w:val="22"/>
      </w:rPr>
      <w:pPr>
        <w:pBdr/>
        <w:spacing/>
        <w:ind/>
      </w:pPr>
      <w:tblPr>
        <w:tblBorders/>
      </w:tblPr>
      <w:tcPr>
        <w:shd w:val="clear" w:color="7f7f7f" w:fill="7f7f7f" w:themeFill="text1" w:themeFillTint="80"/>
        <w:tcBorders/>
      </w:tcPr>
    </w:tblStylePr>
    <w:tblStylePr w:type="lastCol">
      <w:rPr>
        <w:sz w:val="22"/>
      </w:rPr>
      <w:pPr>
        <w:pBdr/>
        <w:spacing/>
        <w:ind/>
      </w:pPr>
      <w:tblPr>
        <w:tblBorders/>
      </w:tblPr>
      <w:tcPr>
        <w:shd w:val="clear" w:color="7f7f7f" w:fill="7f7f7f" w:themeFill="text1" w:themeFillTint="80"/>
        <w:tcBorders/>
      </w:tcPr>
    </w:tblStylePr>
    <w:tblStylePr w:type="lastRow">
      <w:rPr>
        <w:sz w:val="22"/>
      </w:rPr>
      <w:pPr>
        <w:pBdr/>
        <w:spacing/>
        <w:ind/>
      </w:pPr>
      <w:tblPr>
        <w:tblBorders/>
      </w:tblPr>
      <w:tcPr>
        <w:shd w:val="clear" w:color="7f7f7f"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2" w:customStyle="1">
    <w:name w:val="Bordered &amp; Lined - Accent 1"/>
    <w:basedOn w:val="1078"/>
    <w:uiPriority w:val="99"/>
    <w:pPr>
      <w:pBdr/>
      <w:spacing/>
      <w:ind/>
    </w:pPr>
    <w:rPr>
      <w:lang w:eastAsia="en-GB"/>
    </w:rPr>
    <w:tblPr>
      <w:tblStyleRowBandSize w:val="1"/>
      <w:tblStyleColBandSize w:val="1"/>
      <w:tblCellMar>
        <w:left w:w="108" w:type="dxa"/>
        <w:top w:w="0" w:type="dxa"/>
        <w:right w:w="108" w:type="dxa"/>
        <w:bottom w:w="0" w:type="dxa"/>
      </w:tblCellMar>
      <w:tblBorders>
        <w:top w:val="single" w:color="2a4a71" w:themeColor="accent1" w:sz="4" w:space="0"/>
        <w:left w:val="single" w:color="2a4a71" w:themeColor="accent1" w:sz="4" w:space="0"/>
        <w:bottom w:val="single" w:color="2a4a71" w:themeColor="accent1" w:sz="4" w:space="0"/>
        <w:right w:val="single" w:color="2a4a71" w:themeColor="accent1" w:sz="4" w:space="0"/>
        <w:insideH w:val="single" w:color="2a4a71" w:themeColor="accent1" w:sz="4" w:space="0"/>
        <w:insideV w:val="single" w:color="2a4a71" w:themeColor="accent1" w:sz="4" w:space="0"/>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c7d7ea" w:fill="c7d7ea" w:themeFill="accent1" w:themeFillTint="50"/>
        <w:tcBorders/>
      </w:tcPr>
    </w:tblStylePr>
    <w:tblStylePr w:type="band2Vert">
      <w:rPr>
        <w:sz w:val="22"/>
      </w:rPr>
      <w:pPr>
        <w:pBdr/>
        <w:spacing/>
        <w:ind/>
      </w:pPr>
      <w:tblPr>
        <w:tblBorders/>
      </w:tblPr>
      <w:tcPr>
        <w:shd w:val="clear" w:color="c7d7ea" w:fill="c7d7ea" w:themeFill="accent1" w:themeFillTint="50"/>
        <w:tcBorders/>
      </w:tcPr>
    </w:tblStylePr>
    <w:tblStylePr w:type="firstCol">
      <w:rPr>
        <w:sz w:val="22"/>
      </w:rPr>
      <w:pPr>
        <w:pBdr/>
        <w:spacing/>
        <w:ind/>
      </w:pPr>
      <w:tblPr>
        <w:tblBorders/>
      </w:tblPr>
      <w:tcPr>
        <w:shd w:val="clear" w:color="5d8ac2" w:fill="5d8ac2" w:themeFill="accent1" w:themeFillTint="EA"/>
        <w:tcBorders/>
      </w:tcPr>
    </w:tblStylePr>
    <w:tblStylePr w:type="firstRow">
      <w:rPr>
        <w:sz w:val="22"/>
      </w:rPr>
      <w:pPr>
        <w:pBdr/>
        <w:spacing/>
        <w:ind/>
      </w:pPr>
      <w:tblPr>
        <w:tblBorders/>
      </w:tblPr>
      <w:tcPr>
        <w:shd w:val="clear" w:color="5d8ac2" w:fill="5d8ac2" w:themeFill="accent1" w:themeFillTint="EA"/>
        <w:tcBorders/>
      </w:tcPr>
    </w:tblStylePr>
    <w:tblStylePr w:type="lastCol">
      <w:rPr>
        <w:sz w:val="22"/>
      </w:rPr>
      <w:pPr>
        <w:pBdr/>
        <w:spacing/>
        <w:ind/>
      </w:pPr>
      <w:tblPr>
        <w:tblBorders/>
      </w:tblPr>
      <w:tcPr>
        <w:shd w:val="clear" w:color="5d8ac2" w:fill="5d8ac2" w:themeFill="accent1" w:themeFillTint="EA"/>
        <w:tcBorders/>
      </w:tcPr>
    </w:tblStylePr>
    <w:tblStylePr w:type="lastRow">
      <w:rPr>
        <w:sz w:val="22"/>
      </w:rPr>
      <w:pPr>
        <w:pBdr/>
        <w:spacing/>
        <w:ind/>
      </w:pPr>
      <w:tblPr>
        <w:tblBorders/>
      </w:tblPr>
      <w:tcPr>
        <w:shd w:val="clear" w:color="5d8ac2"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3" w:customStyle="1">
    <w:name w:val="Bordered &amp; Lined - Accent 2"/>
    <w:basedOn w:val="1078"/>
    <w:uiPriority w:val="99"/>
    <w:pPr>
      <w:pBdr/>
      <w:spacing/>
      <w:ind/>
    </w:pPr>
    <w:rPr>
      <w:lang w:eastAsia="en-GB"/>
    </w:rPr>
    <w:tblPr>
      <w:tblStyleRowBandSize w:val="1"/>
      <w:tblStyleColBandSize w:val="1"/>
      <w:tblCellMar>
        <w:left w:w="108" w:type="dxa"/>
        <w:top w:w="0" w:type="dxa"/>
        <w:right w:w="108" w:type="dxa"/>
        <w:bottom w:w="0" w:type="dxa"/>
      </w:tblCellMar>
      <w:tblBorders>
        <w:top w:val="single" w:color="732a29" w:themeColor="accent2" w:sz="4" w:space="0"/>
        <w:left w:val="single" w:color="732a29" w:themeColor="accent2" w:sz="4" w:space="0"/>
        <w:bottom w:val="single" w:color="732a29" w:themeColor="accent2" w:sz="4" w:space="0"/>
        <w:right w:val="single" w:color="732a29" w:themeColor="accent2" w:sz="4" w:space="0"/>
        <w:insideH w:val="single" w:color="732a29" w:themeColor="accent2" w:sz="4" w:space="0"/>
        <w:insideV w:val="single" w:color="732a29" w:themeColor="accent2" w:sz="4" w:space="0"/>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f2dcdc" w:fill="f2dcdc" w:themeFill="accent2" w:themeFillTint="32"/>
        <w:tcBorders/>
      </w:tcPr>
    </w:tblStylePr>
    <w:tblStylePr w:type="band2Vert">
      <w:rPr>
        <w:sz w:val="22"/>
      </w:rPr>
      <w:pPr>
        <w:pBdr/>
        <w:spacing/>
        <w:ind/>
      </w:pPr>
      <w:tblPr>
        <w:tblBorders/>
      </w:tblPr>
      <w:tcPr>
        <w:shd w:val="clear" w:color="f2dcdc" w:fill="f2dcdc" w:themeFill="accent2" w:themeFillTint="32"/>
        <w:tcBorders/>
      </w:tcPr>
    </w:tblStylePr>
    <w:tblStylePr w:type="firstCol">
      <w:rPr>
        <w:sz w:val="22"/>
      </w:rPr>
      <w:pPr>
        <w:pBdr/>
        <w:spacing/>
        <w:ind/>
      </w:pPr>
      <w:tblPr>
        <w:tblBorders/>
      </w:tblPr>
      <w:tcPr>
        <w:shd w:val="clear" w:color="d99695" w:fill="d99695" w:themeFill="accent2" w:themeFillTint="97"/>
        <w:tcBorders/>
      </w:tcPr>
    </w:tblStylePr>
    <w:tblStylePr w:type="firstRow">
      <w:rPr>
        <w:sz w:val="22"/>
      </w:rPr>
      <w:pPr>
        <w:pBdr/>
        <w:spacing/>
        <w:ind/>
      </w:pPr>
      <w:tblPr>
        <w:tblBorders/>
      </w:tblPr>
      <w:tcPr>
        <w:shd w:val="clear" w:color="d99695" w:fill="d99695" w:themeFill="accent2" w:themeFillTint="97"/>
        <w:tcBorders/>
      </w:tcPr>
    </w:tblStylePr>
    <w:tblStylePr w:type="lastCol">
      <w:rPr>
        <w:sz w:val="22"/>
      </w:rPr>
      <w:pPr>
        <w:pBdr/>
        <w:spacing/>
        <w:ind/>
      </w:pPr>
      <w:tblPr>
        <w:tblBorders/>
      </w:tblPr>
      <w:tcPr>
        <w:shd w:val="clear" w:color="d99695" w:fill="d99695" w:themeFill="accent2" w:themeFillTint="97"/>
        <w:tcBorders/>
      </w:tcPr>
    </w:tblStylePr>
    <w:tblStylePr w:type="lastRow">
      <w:rPr>
        <w:sz w:val="22"/>
      </w:rPr>
      <w:pPr>
        <w:pBdr/>
        <w:spacing/>
        <w:ind/>
      </w:pPr>
      <w:tblPr>
        <w:tblBorders/>
      </w:tblPr>
      <w:tcPr>
        <w:shd w:val="clear" w:color="d99695"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4" w:customStyle="1">
    <w:name w:val="Bordered &amp; Lined - Accent 3"/>
    <w:basedOn w:val="1078"/>
    <w:uiPriority w:val="99"/>
    <w:pPr>
      <w:pBdr/>
      <w:spacing/>
      <w:ind/>
    </w:pPr>
    <w:rPr>
      <w:lang w:eastAsia="en-GB"/>
    </w:rPr>
    <w:tblPr>
      <w:tblStyleRowBandSize w:val="1"/>
      <w:tblStyleColBandSize w:val="1"/>
      <w:tblCellMar>
        <w:left w:w="108" w:type="dxa"/>
        <w:top w:w="0" w:type="dxa"/>
        <w:right w:w="108" w:type="dxa"/>
        <w:bottom w:w="0" w:type="dxa"/>
      </w:tblCellMar>
      <w:tblBorders>
        <w:top w:val="single" w:color="5b722e" w:themeColor="accent3" w:sz="4" w:space="0"/>
        <w:left w:val="single" w:color="5b722e" w:themeColor="accent3" w:sz="4" w:space="0"/>
        <w:bottom w:val="single" w:color="5b722e" w:themeColor="accent3" w:sz="4" w:space="0"/>
        <w:right w:val="single" w:color="5b722e" w:themeColor="accent3" w:sz="4" w:space="0"/>
        <w:insideH w:val="single" w:color="5b722e" w:themeColor="accent3" w:sz="4" w:space="0"/>
        <w:insideV w:val="single" w:color="5b722e" w:themeColor="accent3" w:sz="4" w:space="0"/>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eaf1dc" w:fill="eaf1dc" w:themeFill="accent3" w:themeFillTint="34"/>
        <w:tcBorders/>
      </w:tcPr>
    </w:tblStylePr>
    <w:tblStylePr w:type="band2Vert">
      <w:rPr>
        <w:sz w:val="22"/>
      </w:rPr>
      <w:pPr>
        <w:pBdr/>
        <w:spacing/>
        <w:ind/>
      </w:pPr>
      <w:tblPr>
        <w:tblBorders/>
      </w:tblPr>
      <w:tcPr>
        <w:shd w:val="clear" w:color="eaf1dc" w:fill="eaf1dc" w:themeFill="accent3" w:themeFillTint="34"/>
        <w:tcBorders/>
      </w:tcPr>
    </w:tblStylePr>
    <w:tblStylePr w:type="firstCol">
      <w:rPr>
        <w:sz w:val="22"/>
      </w:rPr>
      <w:pPr>
        <w:pBdr/>
        <w:spacing/>
        <w:ind/>
      </w:pPr>
      <w:tblPr>
        <w:tblBorders/>
      </w:tblPr>
      <w:tcPr>
        <w:shd w:val="clear" w:color="9abb59" w:fill="9abb59" w:themeFill="accent3" w:themeFillTint="FE"/>
        <w:tcBorders/>
      </w:tcPr>
    </w:tblStylePr>
    <w:tblStylePr w:type="firstRow">
      <w:rPr>
        <w:sz w:val="22"/>
      </w:rPr>
      <w:pPr>
        <w:pBdr/>
        <w:spacing/>
        <w:ind/>
      </w:pPr>
      <w:tblPr>
        <w:tblBorders/>
      </w:tblPr>
      <w:tcPr>
        <w:shd w:val="clear" w:color="9abb59" w:fill="9abb59" w:themeFill="accent3" w:themeFillTint="FE"/>
        <w:tcBorders/>
      </w:tcPr>
    </w:tblStylePr>
    <w:tblStylePr w:type="lastCol">
      <w:rPr>
        <w:sz w:val="22"/>
      </w:rPr>
      <w:pPr>
        <w:pBdr/>
        <w:spacing/>
        <w:ind/>
      </w:pPr>
      <w:tblPr>
        <w:tblBorders/>
      </w:tblPr>
      <w:tcPr>
        <w:shd w:val="clear" w:color="9abb59" w:fill="9abb59" w:themeFill="accent3" w:themeFillTint="FE"/>
        <w:tcBorders/>
      </w:tcPr>
    </w:tblStylePr>
    <w:tblStylePr w:type="lastRow">
      <w:rPr>
        <w:sz w:val="22"/>
      </w:rPr>
      <w:pPr>
        <w:pBdr/>
        <w:spacing/>
        <w:ind/>
      </w:pPr>
      <w:tblPr>
        <w:tblBorders/>
      </w:tblPr>
      <w:tcPr>
        <w:shd w:val="clear" w:color="9abb59"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5" w:customStyle="1">
    <w:name w:val="Bordered &amp; Lined - Accent 4"/>
    <w:basedOn w:val="1078"/>
    <w:uiPriority w:val="99"/>
    <w:pPr>
      <w:pBdr/>
      <w:spacing/>
      <w:ind/>
    </w:pPr>
    <w:rPr>
      <w:lang w:eastAsia="en-GB"/>
    </w:rPr>
    <w:tblPr>
      <w:tblStyleRowBandSize w:val="1"/>
      <w:tblStyleColBandSize w:val="1"/>
      <w:tblCellMar>
        <w:left w:w="108" w:type="dxa"/>
        <w:top w:w="0" w:type="dxa"/>
        <w:right w:w="108" w:type="dxa"/>
        <w:bottom w:w="0" w:type="dxa"/>
      </w:tblCellMar>
      <w:tblBorders>
        <w:top w:val="single" w:color="4a395f" w:themeColor="accent4" w:sz="4" w:space="0"/>
        <w:left w:val="single" w:color="4a395f" w:themeColor="accent4" w:sz="4" w:space="0"/>
        <w:bottom w:val="single" w:color="4a395f" w:themeColor="accent4" w:sz="4" w:space="0"/>
        <w:right w:val="single" w:color="4a395f" w:themeColor="accent4" w:sz="4" w:space="0"/>
        <w:insideH w:val="single" w:color="4a395f" w:themeColor="accent4" w:sz="4" w:space="0"/>
        <w:insideV w:val="single" w:color="4a395f" w:themeColor="accent4" w:sz="4" w:space="0"/>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e5dfec" w:fill="e5dfec" w:themeFill="accent4" w:themeFillTint="34"/>
        <w:tcBorders/>
      </w:tcPr>
    </w:tblStylePr>
    <w:tblStylePr w:type="band2Vert">
      <w:rPr>
        <w:sz w:val="22"/>
      </w:rPr>
      <w:pPr>
        <w:pBdr/>
        <w:spacing/>
        <w:ind/>
      </w:pPr>
      <w:tblPr>
        <w:tblBorders/>
      </w:tblPr>
      <w:tcPr>
        <w:shd w:val="clear" w:color="e5dfec" w:fill="e5dfec" w:themeFill="accent4" w:themeFillTint="34"/>
        <w:tcBorders/>
      </w:tcPr>
    </w:tblStylePr>
    <w:tblStylePr w:type="firstCol">
      <w:rPr>
        <w:sz w:val="22"/>
      </w:rPr>
      <w:pPr>
        <w:pBdr/>
        <w:spacing/>
        <w:ind/>
      </w:pPr>
      <w:tblPr>
        <w:tblBorders/>
      </w:tblPr>
      <w:tcPr>
        <w:shd w:val="clear" w:color="b2a1c6" w:fill="b2a1c6" w:themeFill="accent4" w:themeFillTint="9A"/>
        <w:tcBorders/>
      </w:tcPr>
    </w:tblStylePr>
    <w:tblStylePr w:type="firstRow">
      <w:rPr>
        <w:sz w:val="22"/>
      </w:rPr>
      <w:pPr>
        <w:pBdr/>
        <w:spacing/>
        <w:ind/>
      </w:pPr>
      <w:tblPr>
        <w:tblBorders/>
      </w:tblPr>
      <w:tcPr>
        <w:shd w:val="clear" w:color="b2a1c6" w:fill="b2a1c6" w:themeFill="accent4" w:themeFillTint="9A"/>
        <w:tcBorders/>
      </w:tcPr>
    </w:tblStylePr>
    <w:tblStylePr w:type="lastCol">
      <w:rPr>
        <w:sz w:val="22"/>
      </w:rPr>
      <w:pPr>
        <w:pBdr/>
        <w:spacing/>
        <w:ind/>
      </w:pPr>
      <w:tblPr>
        <w:tblBorders/>
      </w:tblPr>
      <w:tcPr>
        <w:shd w:val="clear" w:color="b2a1c6" w:fill="b2a1c6" w:themeFill="accent4" w:themeFillTint="9A"/>
        <w:tcBorders/>
      </w:tcPr>
    </w:tblStylePr>
    <w:tblStylePr w:type="lastRow">
      <w:rPr>
        <w:sz w:val="22"/>
      </w:rPr>
      <w:pPr>
        <w:pBdr/>
        <w:spacing/>
        <w:ind/>
      </w:pPr>
      <w:tblPr>
        <w:tblBorders/>
      </w:tblPr>
      <w:tcPr>
        <w:shd w:val="clear" w:color="b2a1c6"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6" w:customStyle="1">
    <w:name w:val="Bordered &amp; Lined - Accent 5"/>
    <w:basedOn w:val="1078"/>
    <w:uiPriority w:val="99"/>
    <w:pPr>
      <w:pBdr/>
      <w:spacing/>
      <w:ind/>
    </w:pPr>
    <w:rPr>
      <w:lang w:eastAsia="en-GB"/>
    </w:rPr>
    <w:tblPr>
      <w:tblStyleRowBandSize w:val="1"/>
      <w:tblStyleColBandSize w:val="1"/>
      <w:tblCellMar>
        <w:left w:w="108" w:type="dxa"/>
        <w:top w:w="0" w:type="dxa"/>
        <w:right w:w="108" w:type="dxa"/>
        <w:bottom w:w="0" w:type="dxa"/>
      </w:tblCellMar>
      <w:tblBorders>
        <w:top w:val="single" w:color="266779" w:themeColor="accent5" w:sz="4" w:space="0"/>
        <w:left w:val="single" w:color="266779" w:themeColor="accent5" w:sz="4" w:space="0"/>
        <w:bottom w:val="single" w:color="266779" w:themeColor="accent5" w:sz="4" w:space="0"/>
        <w:right w:val="single" w:color="266779" w:themeColor="accent5" w:sz="4" w:space="0"/>
        <w:insideH w:val="single" w:color="266779" w:themeColor="accent5" w:sz="4" w:space="0"/>
        <w:insideV w:val="single" w:color="266779" w:themeColor="accent5" w:sz="4" w:space="0"/>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daeef3" w:fill="daeef3" w:themeFill="accent5" w:themeFillTint="34"/>
        <w:tcBorders/>
      </w:tcPr>
    </w:tblStylePr>
    <w:tblStylePr w:type="band2Vert">
      <w:rPr>
        <w:sz w:val="22"/>
      </w:rPr>
      <w:pPr>
        <w:pBdr/>
        <w:spacing/>
        <w:ind/>
      </w:pPr>
      <w:tblPr>
        <w:tblBorders/>
      </w:tblPr>
      <w:tcPr>
        <w:shd w:val="clear" w:color="daeef3" w:fill="daeef3" w:themeFill="accent5" w:themeFillTint="34"/>
        <w:tcBorders/>
      </w:tcPr>
    </w:tblStylePr>
    <w:tblStylePr w:type="firstCol">
      <w:rPr>
        <w:sz w:val="22"/>
      </w:rPr>
      <w:pPr>
        <w:pBdr/>
        <w:spacing/>
        <w:ind/>
      </w:pPr>
      <w:tblPr>
        <w:tblBorders/>
      </w:tblPr>
      <w:tcPr>
        <w:shd w:val="clear" w:color="4bacc6" w:fill="4bacc6" w:themeFill="accent5"/>
        <w:tcBorders/>
      </w:tcPr>
    </w:tblStylePr>
    <w:tblStylePr w:type="firstRow">
      <w:rPr>
        <w:sz w:val="22"/>
      </w:rPr>
      <w:pPr>
        <w:pBdr/>
        <w:spacing/>
        <w:ind/>
      </w:pPr>
      <w:tblPr>
        <w:tblBorders/>
      </w:tblPr>
      <w:tcPr>
        <w:shd w:val="clear" w:color="4bacc6" w:fill="4bacc6" w:themeFill="accent5"/>
        <w:tcBorders/>
      </w:tcPr>
    </w:tblStylePr>
    <w:tblStylePr w:type="lastCol">
      <w:rPr>
        <w:sz w:val="22"/>
      </w:rPr>
      <w:pPr>
        <w:pBdr/>
        <w:spacing/>
        <w:ind/>
      </w:pPr>
      <w:tblPr>
        <w:tblBorders/>
      </w:tblPr>
      <w:tcPr>
        <w:shd w:val="clear" w:color="4bacc6" w:fill="4bacc6" w:themeFill="accent5"/>
        <w:tcBorders/>
      </w:tcPr>
    </w:tblStylePr>
    <w:tblStylePr w:type="lastRow">
      <w:rPr>
        <w:sz w:val="22"/>
      </w:rPr>
      <w:pPr>
        <w:pBdr/>
        <w:spacing/>
        <w:ind/>
      </w:pPr>
      <w:tblPr>
        <w:tblBorders/>
      </w:tblPr>
      <w:tcPr>
        <w:shd w:val="clear" w:color="4bacc6"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7" w:customStyle="1">
    <w:name w:val="Bordered &amp; Lined - Accent 6"/>
    <w:basedOn w:val="1078"/>
    <w:uiPriority w:val="99"/>
    <w:pPr>
      <w:pBdr/>
      <w:spacing/>
      <w:ind/>
    </w:pPr>
    <w:rPr>
      <w:lang w:eastAsia="en-GB"/>
    </w:rPr>
    <w:tblPr>
      <w:tblStyleRowBandSize w:val="1"/>
      <w:tblStyleColBandSize w:val="1"/>
      <w:tblCellMar>
        <w:left w:w="108" w:type="dxa"/>
        <w:top w:w="0" w:type="dxa"/>
        <w:right w:w="108" w:type="dxa"/>
        <w:bottom w:w="0" w:type="dxa"/>
      </w:tblCellMar>
      <w:tblBorders>
        <w:top w:val="single" w:color="b15407" w:themeColor="accent6" w:sz="4" w:space="0"/>
        <w:left w:val="single" w:color="b15407" w:themeColor="accent6" w:sz="4" w:space="0"/>
        <w:bottom w:val="single" w:color="b15407" w:themeColor="accent6" w:sz="4" w:space="0"/>
        <w:right w:val="single" w:color="b15407" w:themeColor="accent6" w:sz="4" w:space="0"/>
        <w:insideH w:val="single" w:color="b15407" w:themeColor="accent6" w:sz="4" w:space="0"/>
        <w:insideV w:val="single" w:color="b15407" w:themeColor="accent6" w:sz="4" w:space="0"/>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fde9d8" w:fill="fde9d8" w:themeFill="accent6" w:themeFillTint="34"/>
        <w:tcBorders/>
      </w:tcPr>
    </w:tblStylePr>
    <w:tblStylePr w:type="band2Vert">
      <w:rPr>
        <w:sz w:val="22"/>
      </w:rPr>
      <w:pPr>
        <w:pBdr/>
        <w:spacing/>
        <w:ind/>
      </w:pPr>
      <w:tblPr>
        <w:tblBorders/>
      </w:tblPr>
      <w:tcPr>
        <w:shd w:val="clear" w:color="fde9d8" w:fill="fde9d8" w:themeFill="accent6" w:themeFillTint="34"/>
        <w:tcBorders/>
      </w:tcPr>
    </w:tblStylePr>
    <w:tblStylePr w:type="firstCol">
      <w:rPr>
        <w:sz w:val="22"/>
      </w:rPr>
      <w:pPr>
        <w:pBdr/>
        <w:spacing/>
        <w:ind/>
      </w:pPr>
      <w:tblPr>
        <w:tblBorders/>
      </w:tblPr>
      <w:tcPr>
        <w:shd w:val="clear" w:color="f79646" w:fill="f79646" w:themeFill="accent6"/>
        <w:tcBorders/>
      </w:tcPr>
    </w:tblStylePr>
    <w:tblStylePr w:type="firstRow">
      <w:rPr>
        <w:sz w:val="22"/>
      </w:rPr>
      <w:pPr>
        <w:pBdr/>
        <w:spacing/>
        <w:ind/>
      </w:pPr>
      <w:tblPr>
        <w:tblBorders/>
      </w:tblPr>
      <w:tcPr>
        <w:shd w:val="clear" w:color="f79646" w:fill="f79646" w:themeFill="accent6"/>
        <w:tcBorders/>
      </w:tcPr>
    </w:tblStylePr>
    <w:tblStylePr w:type="lastCol">
      <w:rPr>
        <w:sz w:val="22"/>
      </w:rPr>
      <w:pPr>
        <w:pBdr/>
        <w:spacing/>
        <w:ind/>
      </w:pPr>
      <w:tblPr>
        <w:tblBorders/>
      </w:tblPr>
      <w:tcPr>
        <w:shd w:val="clear" w:color="f79646" w:fill="f79646" w:themeFill="accent6"/>
        <w:tcBorders/>
      </w:tcPr>
    </w:tblStylePr>
    <w:tblStylePr w:type="lastRow">
      <w:rPr>
        <w:sz w:val="22"/>
      </w:rPr>
      <w:pPr>
        <w:pBdr/>
        <w:spacing/>
        <w:ind/>
      </w:pPr>
      <w:tblPr>
        <w:tblBorders/>
      </w:tblPr>
      <w:tcPr>
        <w:shd w:val="clear" w:color="f7964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8" w:customStyle="1">
    <w:name w:val="Bordered"/>
    <w:basedOn w:val="1078"/>
    <w:uiPriority w:val="99"/>
    <w:pPr>
      <w:pBdr/>
      <w:spacing/>
      <w:ind/>
    </w:pPr>
    <w:tblPr>
      <w:tblStyleRowBandSize w:val="1"/>
      <w:tblStyleColBandSize w:val="1"/>
      <w:tblCellMar>
        <w:left w:w="108" w:type="dxa"/>
        <w:top w:w="0" w:type="dxa"/>
        <w:right w:w="108" w:type="dxa"/>
        <w:bottom w:w="0" w:type="dxa"/>
      </w:tblCellMar>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sz w:val="22"/>
      </w:rPr>
      <w:pPr>
        <w:pBdr/>
        <w:spacing/>
        <w:ind/>
      </w:pPr>
      <w:tblPr>
        <w:tblBorders/>
      </w:tblPr>
      <w:tcPr>
        <w:tcBorders>
          <w:top w:val="single" w:color="d9d9d9" w:themeColor="text1" w:sz="4" w:space="0"/>
          <w:left w:val="single" w:color="d9d9d9" w:themeColor="text1" w:sz="4" w:space="0"/>
          <w:bottom w:val="single" w:color="d9d9d9" w:themeColor="text1" w:sz="4" w:space="0"/>
          <w:right w:val="single" w:color="d9d9d9" w:themeColor="text1"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sz w:val="22"/>
      </w:rPr>
      <w:pPr>
        <w:pBdr/>
        <w:spacing/>
        <w:ind/>
      </w:pPr>
      <w:tblPr>
        <w:tblBorders/>
      </w:tblPr>
      <w:tcPr>
        <w:tcBorders/>
      </w:tcPr>
    </w:tblStylePr>
    <w:tblStylePr w:type="firstRow">
      <w:rPr>
        <w:sz w:val="22"/>
      </w:rPr>
      <w:pPr>
        <w:pBdr/>
        <w:spacing/>
        <w:ind/>
      </w:pPr>
      <w:tblPr>
        <w:tblBorders/>
      </w:tblPr>
      <w:tcPr>
        <w:tcBorders>
          <w:bottom w:val="single" w:color="7f7f7f" w:themeColor="text1" w:sz="12" w:space="0"/>
        </w:tcBorders>
      </w:tcPr>
    </w:tblStylePr>
    <w:tblStylePr w:type="lastCol">
      <w:rPr>
        <w:sz w:val="22"/>
      </w:rPr>
      <w:pPr>
        <w:pBdr/>
        <w:spacing/>
        <w:ind/>
      </w:pPr>
      <w:tblPr>
        <w:tblBorders/>
      </w:tblPr>
      <w:tcPr>
        <w:tcBorders>
          <w:left w:val="single" w:color="7f7f7f" w:themeColor="text1" w:sz="12" w:space="0"/>
        </w:tcBorders>
      </w:tcPr>
    </w:tblStylePr>
    <w:tblStylePr w:type="lastRow">
      <w:rPr>
        <w:sz w:val="22"/>
      </w:rPr>
      <w:pPr>
        <w:pBdr/>
        <w:spacing/>
        <w:ind/>
      </w:pPr>
      <w:tblPr>
        <w:tblBorders/>
      </w:tblPr>
      <w:tcPr>
        <w:tcBorders>
          <w:top w:val="single" w:color="7f7f7f"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9" w:customStyle="1">
    <w:name w:val="Bordered - Accent 1"/>
    <w:basedOn w:val="1078"/>
    <w:uiPriority w:val="99"/>
    <w:pPr>
      <w:pBdr/>
      <w:spacing/>
      <w:ind/>
    </w:pPr>
    <w:tblPr>
      <w:tblStyleRowBandSize w:val="1"/>
      <w:tblStyleColBandSize w:val="1"/>
      <w:tblCellMar>
        <w:left w:w="108" w:type="dxa"/>
        <w:top w:w="0" w:type="dxa"/>
        <w:right w:w="108" w:type="dxa"/>
        <w:bottom w:w="0" w:type="dxa"/>
      </w:tblCellMar>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sz w:val="22"/>
      </w:rPr>
      <w:pPr>
        <w:pBdr/>
        <w:spacing/>
        <w:ind/>
      </w:pPr>
      <w:tblPr>
        <w:tblBorders/>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sz w:val="22"/>
      </w:rPr>
      <w:pPr>
        <w:pBdr/>
        <w:spacing/>
        <w:ind/>
      </w:pPr>
      <w:tblPr>
        <w:tblBorders/>
      </w:tblPr>
      <w:tcPr>
        <w:tcBorders/>
      </w:tcPr>
    </w:tblStylePr>
    <w:tblStylePr w:type="firstRow">
      <w:rPr>
        <w:sz w:val="22"/>
      </w:rPr>
      <w:pPr>
        <w:pBdr/>
        <w:spacing/>
        <w:ind/>
      </w:pPr>
      <w:tblPr>
        <w:tblBorders/>
      </w:tblPr>
      <w:tcPr>
        <w:tcBorders>
          <w:bottom w:val="single" w:color="4f81bd" w:themeColor="accent1" w:sz="12" w:space="0"/>
        </w:tcBorders>
      </w:tcPr>
    </w:tblStylePr>
    <w:tblStylePr w:type="lastCol">
      <w:rPr>
        <w:sz w:val="22"/>
      </w:rPr>
      <w:pPr>
        <w:pBdr/>
        <w:spacing/>
        <w:ind/>
      </w:pPr>
      <w:tblPr>
        <w:tblBorders/>
      </w:tblPr>
      <w:tcPr>
        <w:tcBorders>
          <w:left w:val="single" w:color="4f81bd" w:themeColor="accent1" w:sz="12" w:space="0"/>
        </w:tcBorders>
      </w:tcPr>
    </w:tblStylePr>
    <w:tblStylePr w:type="lastRow">
      <w:rPr>
        <w:sz w:val="22"/>
      </w:rPr>
      <w:pPr>
        <w:pBdr/>
        <w:spacing/>
        <w:ind/>
      </w:pPr>
      <w:tblPr>
        <w:tblBorders/>
      </w:tblPr>
      <w:tcPr>
        <w:tcBorders>
          <w:top w:val="single" w:color="4f81bd"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0" w:customStyle="1">
    <w:name w:val="Bordered - Accent 2"/>
    <w:basedOn w:val="1078"/>
    <w:uiPriority w:val="99"/>
    <w:pPr>
      <w:pBdr/>
      <w:spacing/>
      <w:ind/>
    </w:pPr>
    <w:tblPr>
      <w:tblStyleRowBandSize w:val="1"/>
      <w:tblStyleColBandSize w:val="1"/>
      <w:tblCellMar>
        <w:left w:w="108" w:type="dxa"/>
        <w:top w:w="0" w:type="dxa"/>
        <w:right w:w="108" w:type="dxa"/>
        <w:bottom w:w="0" w:type="dxa"/>
      </w:tblCellMar>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sz w:val="22"/>
      </w:rPr>
      <w:pPr>
        <w:pBdr/>
        <w:spacing/>
        <w:ind/>
      </w:pPr>
      <w:tblPr>
        <w:tblBorders/>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sz w:val="22"/>
      </w:rPr>
      <w:pPr>
        <w:pBdr/>
        <w:spacing/>
        <w:ind/>
      </w:pPr>
      <w:tblPr>
        <w:tblBorders/>
      </w:tblPr>
      <w:tcPr>
        <w:tcBorders/>
      </w:tcPr>
    </w:tblStylePr>
    <w:tblStylePr w:type="firstRow">
      <w:rPr>
        <w:sz w:val="22"/>
      </w:rPr>
      <w:pPr>
        <w:pBdr/>
        <w:spacing/>
        <w:ind/>
      </w:pPr>
      <w:tblPr>
        <w:tblBorders/>
      </w:tblPr>
      <w:tcPr>
        <w:tcBorders>
          <w:bottom w:val="single" w:color="d99695" w:themeColor="accent2" w:sz="12" w:space="0"/>
        </w:tcBorders>
      </w:tcPr>
    </w:tblStylePr>
    <w:tblStylePr w:type="lastCol">
      <w:rPr>
        <w:sz w:val="22"/>
      </w:rPr>
      <w:pPr>
        <w:pBdr/>
        <w:spacing/>
        <w:ind/>
      </w:pPr>
      <w:tblPr>
        <w:tblBorders/>
      </w:tblPr>
      <w:tcPr>
        <w:tcBorders>
          <w:left w:val="single" w:color="d99695" w:themeColor="accent2" w:sz="12" w:space="0"/>
        </w:tcBorders>
      </w:tcPr>
    </w:tblStylePr>
    <w:tblStylePr w:type="lastRow">
      <w:rPr>
        <w:sz w:val="22"/>
      </w:rPr>
      <w:pPr>
        <w:pBdr/>
        <w:spacing/>
        <w:ind/>
      </w:pPr>
      <w:tblPr>
        <w:tblBorders/>
      </w:tblPr>
      <w:tcPr>
        <w:tcBorders>
          <w:top w:val="single" w:color="d99695" w:themeColor="accent2"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1" w:customStyle="1">
    <w:name w:val="Bordered - Accent 3"/>
    <w:basedOn w:val="1078"/>
    <w:uiPriority w:val="99"/>
    <w:pPr>
      <w:pBdr/>
      <w:spacing/>
      <w:ind/>
    </w:pPr>
    <w:tblPr>
      <w:tblStyleRowBandSize w:val="1"/>
      <w:tblStyleColBandSize w:val="1"/>
      <w:tblCellMar>
        <w:left w:w="108" w:type="dxa"/>
        <w:top w:w="0" w:type="dxa"/>
        <w:right w:w="108" w:type="dxa"/>
        <w:bottom w:w="0" w:type="dxa"/>
      </w:tblCellMa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sz w:val="22"/>
      </w:rPr>
      <w:pPr>
        <w:pBdr/>
        <w:spacing/>
        <w:ind/>
      </w:pPr>
      <w:tblPr>
        <w:tblBorders/>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sz w:val="22"/>
      </w:rPr>
      <w:pPr>
        <w:pBdr/>
        <w:spacing/>
        <w:ind/>
      </w:pPr>
      <w:tblPr>
        <w:tblBorders/>
      </w:tblPr>
      <w:tcPr>
        <w:tcBorders/>
      </w:tcPr>
    </w:tblStylePr>
    <w:tblStylePr w:type="firstRow">
      <w:rPr>
        <w:sz w:val="22"/>
      </w:rPr>
      <w:pPr>
        <w:pBdr/>
        <w:spacing/>
        <w:ind/>
      </w:pPr>
      <w:tblPr>
        <w:tblBorders/>
      </w:tblPr>
      <w:tcPr>
        <w:tcBorders>
          <w:bottom w:val="single" w:color="c3d69b" w:themeColor="accent3" w:sz="12" w:space="0"/>
        </w:tcBorders>
      </w:tcPr>
    </w:tblStylePr>
    <w:tblStylePr w:type="lastCol">
      <w:rPr>
        <w:sz w:val="22"/>
      </w:rPr>
      <w:pPr>
        <w:pBdr/>
        <w:spacing/>
        <w:ind/>
      </w:pPr>
      <w:tblPr>
        <w:tblBorders/>
      </w:tblPr>
      <w:tcPr>
        <w:tcBorders>
          <w:left w:val="single" w:color="c3d69b" w:themeColor="accent3" w:sz="12" w:space="0"/>
        </w:tcBorders>
      </w:tcPr>
    </w:tblStylePr>
    <w:tblStylePr w:type="lastRow">
      <w:rPr>
        <w:sz w:val="22"/>
      </w:rPr>
      <w:pPr>
        <w:pBdr/>
        <w:spacing/>
        <w:ind/>
      </w:pPr>
      <w:tblPr>
        <w:tblBorders/>
      </w:tblPr>
      <w:tcPr>
        <w:tcBorders>
          <w:top w:val="single" w:color="c3d69b" w:themeColor="accent3"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2" w:customStyle="1">
    <w:name w:val="Bordered - Accent 4"/>
    <w:basedOn w:val="1078"/>
    <w:uiPriority w:val="99"/>
    <w:pPr>
      <w:pBdr/>
      <w:spacing/>
      <w:ind/>
    </w:pPr>
    <w:tblPr>
      <w:tblStyleRowBandSize w:val="1"/>
      <w:tblStyleColBandSize w:val="1"/>
      <w:tblCellMar>
        <w:left w:w="108" w:type="dxa"/>
        <w:top w:w="0" w:type="dxa"/>
        <w:right w:w="108" w:type="dxa"/>
        <w:bottom w:w="0" w:type="dxa"/>
      </w:tblCellMa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sz w:val="22"/>
      </w:rPr>
      <w:pPr>
        <w:pBdr/>
        <w:spacing/>
        <w:ind/>
      </w:pPr>
      <w:tblPr>
        <w:tblBorders/>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sz w:val="22"/>
      </w:rPr>
      <w:pPr>
        <w:pBdr/>
        <w:spacing/>
        <w:ind/>
      </w:pPr>
      <w:tblPr>
        <w:tblBorders/>
      </w:tblPr>
      <w:tcPr>
        <w:tcBorders/>
      </w:tcPr>
    </w:tblStylePr>
    <w:tblStylePr w:type="firstRow">
      <w:rPr>
        <w:sz w:val="22"/>
      </w:rPr>
      <w:pPr>
        <w:pBdr/>
        <w:spacing/>
        <w:ind/>
      </w:pPr>
      <w:tblPr>
        <w:tblBorders/>
      </w:tblPr>
      <w:tcPr>
        <w:tcBorders>
          <w:bottom w:val="single" w:color="b2a1c6" w:themeColor="accent4" w:sz="12" w:space="0"/>
        </w:tcBorders>
      </w:tcPr>
    </w:tblStylePr>
    <w:tblStylePr w:type="lastCol">
      <w:rPr>
        <w:sz w:val="22"/>
      </w:rPr>
      <w:pPr>
        <w:pBdr/>
        <w:spacing/>
        <w:ind/>
      </w:pPr>
      <w:tblPr>
        <w:tblBorders/>
      </w:tblPr>
      <w:tcPr>
        <w:tcBorders>
          <w:left w:val="single" w:color="b2a1c6" w:themeColor="accent4" w:sz="12" w:space="0"/>
        </w:tcBorders>
      </w:tcPr>
    </w:tblStylePr>
    <w:tblStylePr w:type="lastRow">
      <w:rPr>
        <w:sz w:val="22"/>
      </w:rPr>
      <w:pPr>
        <w:pBdr/>
        <w:spacing/>
        <w:ind/>
      </w:pPr>
      <w:tblPr>
        <w:tblBorders/>
      </w:tblPr>
      <w:tcPr>
        <w:tcBorders>
          <w:top w:val="single" w:color="b2a1c6" w:themeColor="accent4"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3" w:customStyle="1">
    <w:name w:val="Bordered - Accent 5"/>
    <w:basedOn w:val="1078"/>
    <w:uiPriority w:val="99"/>
    <w:pPr>
      <w:pBdr/>
      <w:spacing/>
      <w:ind/>
    </w:pPr>
    <w:tblPr>
      <w:tblStyleRowBandSize w:val="1"/>
      <w:tblStyleColBandSize w:val="1"/>
      <w:tblCellMar>
        <w:left w:w="108" w:type="dxa"/>
        <w:top w:w="0" w:type="dxa"/>
        <w:right w:w="108" w:type="dxa"/>
        <w:bottom w:w="0" w:type="dxa"/>
      </w:tblCellMar>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sz w:val="22"/>
      </w:rPr>
      <w:pPr>
        <w:pBdr/>
        <w:spacing/>
        <w:ind/>
      </w:pPr>
      <w:tblPr>
        <w:tblBorders/>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sz w:val="22"/>
      </w:rPr>
      <w:pPr>
        <w:pBdr/>
        <w:spacing/>
        <w:ind/>
      </w:pPr>
      <w:tblPr>
        <w:tblBorders/>
      </w:tblPr>
      <w:tcPr>
        <w:tcBorders/>
      </w:tcPr>
    </w:tblStylePr>
    <w:tblStylePr w:type="firstRow">
      <w:rPr>
        <w:sz w:val="22"/>
      </w:rPr>
      <w:pPr>
        <w:pBdr/>
        <w:spacing/>
        <w:ind/>
      </w:pPr>
      <w:tblPr>
        <w:tblBorders/>
      </w:tblPr>
      <w:tcPr>
        <w:tcBorders>
          <w:bottom w:val="single" w:color="92ccdc" w:themeColor="accent5" w:sz="12" w:space="0"/>
        </w:tcBorders>
      </w:tcPr>
    </w:tblStylePr>
    <w:tblStylePr w:type="lastCol">
      <w:rPr>
        <w:sz w:val="22"/>
      </w:rPr>
      <w:pPr>
        <w:pBdr/>
        <w:spacing/>
        <w:ind/>
      </w:pPr>
      <w:tblPr>
        <w:tblBorders/>
      </w:tblPr>
      <w:tcPr>
        <w:tcBorders>
          <w:left w:val="single" w:color="92ccdc" w:themeColor="accent5" w:sz="12" w:space="0"/>
        </w:tcBorders>
      </w:tcPr>
    </w:tblStylePr>
    <w:tblStylePr w:type="lastRow">
      <w:rPr>
        <w:sz w:val="22"/>
      </w:rPr>
      <w:pPr>
        <w:pBdr/>
        <w:spacing/>
        <w:ind/>
      </w:pPr>
      <w:tblPr>
        <w:tblBorders/>
      </w:tblPr>
      <w:tcPr>
        <w:tcBorders>
          <w:top w:val="single" w:color="92ccdc" w:themeColor="accent5"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4" w:customStyle="1">
    <w:name w:val="Bordered - Accent 6"/>
    <w:basedOn w:val="1078"/>
    <w:uiPriority w:val="99"/>
    <w:pPr>
      <w:pBdr/>
      <w:spacing/>
      <w:ind/>
    </w:pPr>
    <w:tblPr>
      <w:tblStyleRowBandSize w:val="1"/>
      <w:tblStyleColBandSize w:val="1"/>
      <w:tblCellMar>
        <w:left w:w="108" w:type="dxa"/>
        <w:top w:w="0" w:type="dxa"/>
        <w:right w:w="108" w:type="dxa"/>
        <w:bottom w:w="0" w:type="dxa"/>
      </w:tblCellMa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sz w:val="22"/>
      </w:rPr>
      <w:pPr>
        <w:pBdr/>
        <w:spacing/>
        <w:ind/>
      </w:pPr>
      <w:tblPr>
        <w:tblBorders/>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sz w:val="22"/>
      </w:rPr>
      <w:pPr>
        <w:pBdr/>
        <w:spacing/>
        <w:ind/>
      </w:pPr>
      <w:tblPr>
        <w:tblBorders/>
      </w:tblPr>
      <w:tcPr>
        <w:tcBorders/>
      </w:tcPr>
    </w:tblStylePr>
    <w:tblStylePr w:type="firstRow">
      <w:rPr>
        <w:sz w:val="22"/>
      </w:rPr>
      <w:pPr>
        <w:pBdr/>
        <w:spacing/>
        <w:ind/>
      </w:pPr>
      <w:tblPr>
        <w:tblBorders/>
      </w:tblPr>
      <w:tcPr>
        <w:tcBorders>
          <w:bottom w:val="single" w:color="fac090" w:themeColor="accent6" w:sz="12" w:space="0"/>
        </w:tcBorders>
      </w:tcPr>
    </w:tblStylePr>
    <w:tblStylePr w:type="lastCol">
      <w:rPr>
        <w:sz w:val="22"/>
      </w:rPr>
      <w:pPr>
        <w:pBdr/>
        <w:spacing/>
        <w:ind/>
      </w:pPr>
      <w:tblPr>
        <w:tblBorders/>
      </w:tblPr>
      <w:tcPr>
        <w:tcBorders>
          <w:left w:val="single" w:color="fac090" w:themeColor="accent6" w:sz="12" w:space="0"/>
        </w:tcBorders>
      </w:tcPr>
    </w:tblStylePr>
    <w:tblStylePr w:type="lastRow">
      <w:rPr>
        <w:sz w:val="22"/>
      </w:rPr>
      <w:pPr>
        <w:pBdr/>
        <w:spacing/>
        <w:ind/>
      </w:pPr>
      <w:tblPr>
        <w:tblBorders/>
      </w:tblPr>
      <w:tcPr>
        <w:tcBorders>
          <w:top w:val="single" w:color="fac090" w:themeColor="accent6"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footer" Target="footer3.xml" /><Relationship Id="rId15" Type="http://schemas.openxmlformats.org/officeDocument/2006/relationships/customXml" Target="../customXml/item1.xml" /><Relationship Id="rId16" Type="http://schemas.openxmlformats.org/officeDocument/2006/relationships/hyperlink" Target="http://obinfonet.ro/docs/nt-cultura/ntcma-res/Among the Gentiles Greco-Roman Religion and Christianity - Johnson.pdf" TargetMode="External"/><Relationship Id="rId17" Type="http://schemas.openxmlformats.org/officeDocument/2006/relationships/hyperlink" Target="http://obinfonet.ro/docs/nt-cultura/ntcma-res/Apollonius of Tyana a study of his life and times (F.W. Groves Campbell).pdf" TargetMode="External"/><Relationship Id="rId18" Type="http://schemas.openxmlformats.org/officeDocument/2006/relationships/image" Target="media/image2.jpg"/><Relationship Id="rId19" Type="http://schemas.openxmlformats.org/officeDocument/2006/relationships/hyperlink" Target="http://www.degruyter.com/" TargetMode="External"/><Relationship Id="rId20" Type="http://schemas.openxmlformats.org/officeDocument/2006/relationships/hyperlink" Target="http://www.bu.edu/ict/anrw/pub/index.html" TargetMode="External"/><Relationship Id="rId21" Type="http://schemas.openxmlformats.org/officeDocument/2006/relationships/hyperlink" Target="http://www.ccel.org/fathers.html" TargetMode="External"/><Relationship Id="rId22" Type="http://schemas.openxmlformats.org/officeDocument/2006/relationships/hyperlink" Target="http://www.ccel.org/fathers.html" TargetMode="External"/><Relationship Id="rId23" Type="http://schemas.openxmlformats.org/officeDocument/2006/relationships/hyperlink" Target="http://referenceworks.brillonline.com/browse/coptic-gnostic-library" TargetMode="External"/><Relationship Id="rId24" Type="http://schemas.openxmlformats.org/officeDocument/2006/relationships/hyperlink" Target="http://www.peeters-leuven.be/search_serie_book.asp?nr=94" TargetMode="External"/><Relationship Id="rId25" Type="http://schemas.openxmlformats.org/officeDocument/2006/relationships/hyperlink" Target="http://www.loebclassics.com/" TargetMode="External"/><Relationship Id="rId26" Type="http://schemas.openxmlformats.org/officeDocument/2006/relationships/hyperlink" Target="http://www.peeters-leuven.be/search_serie_book.asp?nr=94" TargetMode="External"/><Relationship Id="rId27" Type="http://schemas.openxmlformats.org/officeDocument/2006/relationships/hyperlink" Target="http://en.wikipedia.org/wiki/Eastern_Christianity" TargetMode="External"/><Relationship Id="rId28" Type="http://schemas.openxmlformats.org/officeDocument/2006/relationships/hyperlink" Target="http://www.earlychristianwritings.com/" TargetMode="External"/><Relationship Id="rId29" Type="http://schemas.openxmlformats.org/officeDocument/2006/relationships/hyperlink" Target="http://www.monachos.net/content/patristics/texts" TargetMode="External"/><Relationship Id="rId30" Type="http://schemas.openxmlformats.org/officeDocument/2006/relationships/hyperlink" Target="http://philipharland.com/greco-roman-associations/" TargetMode="External"/><Relationship Id="rId31" Type="http://schemas.openxmlformats.org/officeDocument/2006/relationships/hyperlink" Target="http://www.philipharland.com/DynamicsofIdentity/"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png"/><Relationship Id="rId2" Type="http://schemas.openxmlformats.org/officeDocument/2006/relationships/hyperlink" Target="mailto:office@itb.ro" TargetMode="External"/></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 Id="rId1" Type="http://schemas.openxmlformats.org/officeDocument/2006/relationships/image" Target="media/image1.png"/><Relationship Id="rId2" Type="http://schemas.openxmlformats.org/officeDocument/2006/relationships/hyperlink" Target="mailto:office@itb.ro" TargetMode="External"/></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gradFill>
        <a:gradFill>
          <a:gsLst>
            <a:gs pos="0">
              <a:schemeClr val="phClr">
                <a:shade val="51000"/>
              </a:schemeClr>
            </a:gs>
            <a:gs pos="80000">
              <a:schemeClr val="phClr">
                <a:shade val="93000"/>
              </a:schemeClr>
            </a:gs>
            <a:gs pos="100000">
              <a:schemeClr val="phClr">
                <a:shade val="94000"/>
              </a:schemeClr>
            </a:gs>
          </a:gsLst>
          <a:lin ang="16200000" scaled="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gradFill>
        <a:gradFill>
          <a:gsLst>
            <a:gs pos="0">
              <a:schemeClr val="phClr">
                <a:tint val="80000"/>
              </a:schemeClr>
            </a:gs>
            <a:gs pos="100000">
              <a:schemeClr val="phClr">
                <a:shade val="3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C367F1-7165-4E74-BE2C-E3DFDC834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Application>ONLYOFFICE/9.3.1.8</Application>
  <HeadingPairs>
    <vt:vector size="0" baseType="variant"/>
  </HeadingPairs>
  <TitlesOfParts>
    <vt:vector size="0" baseType="lpstr"/>
  </TitlesOfPart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dc:description/>
  <dc:language>en-US</dc:language>
  <cp:revision>20</cp:revision>
  <dcterms:created xsi:type="dcterms:W3CDTF">2024-11-14T07:03:00Z</dcterms:created>
  <dcterms:modified xsi:type="dcterms:W3CDTF">2026-03-26T14:43:12Z</dcterms:modified>
</cp:coreProperties>
</file>