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 w:after="20" w:before="20"/>
        <w:ind/>
        <w:jc w:val="center"/>
        <w:rPr>
          <w:rFonts w:ascii="Gentium" w:hAnsi="Gentium"/>
          <w:b/>
          <w:bCs/>
        </w:rPr>
      </w:pPr>
      <w:r>
        <w:rPr>
          <w:rFonts w:ascii="Gentium" w:hAnsi="Gentium"/>
          <w:b/>
          <w:bCs/>
        </w:rPr>
      </w:r>
      <w:r>
        <w:rPr>
          <w:rFonts w:ascii="Gentium" w:hAnsi="Gentium"/>
          <w:b/>
          <w:bCs/>
        </w:rPr>
      </w:r>
      <w:r>
        <w:rPr>
          <w:rFonts w:ascii="Gentium" w:hAnsi="Gentium"/>
          <w:b/>
          <w:bCs/>
        </w:rPr>
      </w:r>
    </w:p>
    <w:p>
      <w:pPr>
        <w:widowControl w:val="false"/>
        <w:pBdr/>
        <w:spacing w:after="20" w:before="20"/>
        <w:ind/>
        <w:jc w:val="center"/>
        <w:outlineLvl w:val="0"/>
        <w:rPr>
          <w:rFonts w:ascii="Gentium" w:hAnsi="Gentium"/>
          <w:b/>
          <w:bCs/>
        </w:rPr>
      </w:pPr>
      <w:r>
        <w:rPr>
          <w:rFonts w:ascii="Gentium" w:hAnsi="Gentium"/>
          <w:b/>
          <w:sz w:val="48"/>
          <w:szCs w:val="48"/>
        </w:rPr>
        <w:t xml:space="preserve">FIŞA DISCIPLINEI </w:t>
      </w:r>
      <w:r>
        <w:rPr>
          <w:rFonts w:ascii="Gentium" w:hAnsi="Gentium"/>
          <w:b/>
          <w:bCs/>
        </w:rPr>
      </w:r>
      <w:r>
        <w:rPr>
          <w:rFonts w:ascii="Gentium" w:hAnsi="Gentium"/>
          <w:b/>
          <w:bCs/>
        </w:rPr>
      </w:r>
    </w:p>
    <w:p>
      <w:pPr>
        <w:widowControl w:val="false"/>
        <w:pBdr/>
        <w:spacing w:after="20" w:before="20"/>
        <w:ind/>
        <w:jc w:val="center"/>
        <w:outlineLvl w:val="0"/>
        <w:rPr>
          <w:rFonts w:ascii="Gentium" w:hAnsi="Gentium"/>
          <w:b/>
          <w:sz w:val="36"/>
          <w:szCs w:val="36"/>
        </w:rPr>
      </w:pPr>
      <w:r>
        <w:rPr>
          <w:rFonts w:ascii="Gentium" w:hAnsi="Gentium"/>
          <w:b/>
          <w:sz w:val="36"/>
          <w:szCs w:val="36"/>
        </w:rPr>
        <w:t xml:space="preserve">anul universitar 202</w:t>
      </w:r>
      <w:r>
        <w:rPr>
          <w:rFonts w:ascii="Gentium" w:hAnsi="Gentium"/>
          <w:b/>
          <w:sz w:val="36"/>
          <w:szCs w:val="36"/>
        </w:rPr>
        <w:t xml:space="preserve">5 – 202</w:t>
      </w:r>
      <w:r>
        <w:rPr>
          <w:rFonts w:ascii="Gentium" w:hAnsi="Gentium"/>
          <w:b/>
          <w:sz w:val="36"/>
          <w:szCs w:val="36"/>
        </w:rPr>
        <w:t xml:space="preserve">6</w:t>
      </w:r>
      <w:r>
        <w:rPr>
          <w:rFonts w:ascii="Gentium" w:hAnsi="Gentium"/>
          <w:b/>
          <w:sz w:val="36"/>
          <w:szCs w:val="36"/>
        </w:rPr>
      </w:r>
      <w:r>
        <w:rPr>
          <w:rFonts w:ascii="Gentium" w:hAnsi="Gentium"/>
          <w:b/>
          <w:sz w:val="36"/>
          <w:szCs w:val="36"/>
        </w:rPr>
      </w:r>
    </w:p>
    <w:p>
      <w:pPr>
        <w:widowControl w:val="false"/>
        <w:pBdr/>
        <w:tabs>
          <w:tab w:val="left" w:leader="none" w:pos="3910"/>
          <w:tab w:val="center" w:leader="none" w:pos="4873"/>
        </w:tabs>
        <w:spacing w:after="20" w:before="20"/>
        <w:ind/>
        <w:rPr>
          <w:rFonts w:ascii="Gentium" w:hAnsi="Gentium"/>
          <w:b/>
          <w:lang w:val="en-US"/>
        </w:rPr>
      </w:pPr>
      <w:r>
        <w:rPr>
          <w:rFonts w:ascii="Gentium" w:hAnsi="Gentium"/>
          <w:b/>
          <w:lang w:val="en-US"/>
        </w:rPr>
        <w:tab/>
      </w:r>
      <w:r>
        <w:rPr>
          <w:rFonts w:ascii="Gentium" w:hAnsi="Gentium"/>
          <w:b/>
          <w:lang w:val="en-US"/>
        </w:rPr>
        <w:tab/>
      </w:r>
      <w:r>
        <w:rPr>
          <w:rFonts w:ascii="Gentium" w:hAnsi="Gentium"/>
          <w:b/>
          <w:lang w:val="en-US"/>
        </w:rPr>
      </w:r>
      <w:r>
        <w:rPr>
          <w:rFonts w:ascii="Gentium" w:hAnsi="Gentium"/>
          <w:b/>
          <w:lang w:val="en-US"/>
        </w:rPr>
      </w:r>
    </w:p>
    <w:p>
      <w:pPr>
        <w:widowControl w:val="false"/>
        <w:numPr>
          <w:ilvl w:val="0"/>
          <w:numId w:val="10"/>
        </w:numPr>
        <w:pBdr/>
        <w:tabs>
          <w:tab w:val="clear" w:leader="none" w:pos="360"/>
          <w:tab w:val="center" w:leader="none" w:pos="4873"/>
        </w:tabs>
        <w:spacing w:after="20" w:before="20"/>
        <w:ind/>
        <w:rPr>
          <w:rFonts w:ascii="Gentium" w:hAnsi="Gentium"/>
          <w:b/>
        </w:rPr>
      </w:pPr>
      <w:r>
        <w:rPr>
          <w:rFonts w:ascii="Gentium" w:hAnsi="Gentium"/>
          <w:b/>
        </w:rPr>
        <w:t xml:space="preserve">Date despre program</w:t>
      </w:r>
      <w:r>
        <w:rPr>
          <w:rFonts w:ascii="Gentium" w:hAnsi="Gentium"/>
          <w:b/>
        </w:rPr>
        <w:tab/>
      </w:r>
      <w:r>
        <w:rPr>
          <w:rFonts w:ascii="Gentium" w:hAnsi="Gentium"/>
          <w:b/>
        </w:rPr>
      </w:r>
      <w:r>
        <w:rPr>
          <w:rFonts w:ascii="Gentium" w:hAnsi="Gentium"/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138"/>
        <w:gridCol w:w="6000"/>
      </w:tblGrid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1.1. Instituţia de învăţămînt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INSTITUTUL TEOLOGIC BAPTIST DIN BUCUREŞTI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1.2. Facultatea 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Facultatea</w:t>
            </w:r>
            <w:r>
              <w:rPr>
                <w:rFonts w:ascii="Gentium" w:hAnsi="Gentium"/>
                <w:b/>
                <w:lang w:val="en-US"/>
              </w:rPr>
              <w:t xml:space="preserve"> </w:t>
            </w:r>
            <w:r>
              <w:rPr>
                <w:rFonts w:ascii="Gentium" w:hAnsi="Gentium"/>
                <w:b/>
              </w:rPr>
              <w:t xml:space="preserve">de Teolog</w:t>
            </w:r>
            <w:r>
              <w:rPr>
                <w:rFonts w:ascii="Gentium" w:hAnsi="Gentium"/>
                <w:b/>
                <w:lang w:val="en-US"/>
              </w:rPr>
              <w:t xml:space="preserve">ie</w:t>
            </w:r>
            <w:r>
              <w:rPr>
                <w:rFonts w:ascii="Gentium" w:hAnsi="Gentium"/>
                <w:b/>
                <w:lang w:val="en-US"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  <w:t xml:space="preserve">Pastorală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1.3. Departamentul 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 xml:space="preserve">Teologie </w:t>
            </w:r>
            <w:r>
              <w:rPr>
                <w:rFonts w:ascii="Gentium" w:hAnsi="Gentium"/>
                <w:b/>
                <w:lang w:val="en-US"/>
              </w:rPr>
              <w:t xml:space="preserve">Baptistă</w:t>
            </w:r>
            <w:r>
              <w:rPr>
                <w:rFonts w:ascii="Gentium" w:hAnsi="Gentium"/>
                <w:b/>
                <w:lang w:val="en-US"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  <w:t xml:space="preserve">Pastorală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1.4. Domeniul de studii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 xml:space="preserve">Teologie </w:t>
            </w:r>
            <w:r>
              <w:rPr>
                <w:rFonts w:ascii="Gentium" w:hAnsi="Gentium"/>
                <w:b/>
                <w:lang w:val="en-US"/>
              </w:rPr>
              <w:t xml:space="preserve">Baptistă</w:t>
            </w:r>
            <w:r>
              <w:rPr>
                <w:rFonts w:ascii="Gentium" w:hAnsi="Gentium"/>
                <w:b/>
                <w:lang w:val="en-US"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  <w:t xml:space="preserve">pastorală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1.5. Ciclul de studii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b/>
                <w:i/>
                <w:lang w:val="en-US"/>
              </w:rPr>
            </w:pPr>
            <w:r>
              <w:rPr>
                <w:rFonts w:ascii="Gentium" w:hAnsi="Gentium"/>
                <w:b/>
              </w:rPr>
              <w:t xml:space="preserve">Masterat</w:t>
            </w:r>
            <w:r>
              <w:rPr>
                <w:rFonts w:ascii="Gentium" w:hAnsi="Gentium"/>
                <w:b/>
                <w:lang w:val="en-US"/>
              </w:rPr>
              <w:t xml:space="preserve"> </w:t>
            </w:r>
            <w:r>
              <w:rPr>
                <w:rFonts w:ascii="Gentium" w:hAnsi="Gentium" w:eastAsia="Albertus Medium"/>
                <w:b/>
                <w:color w:val="0a0a0a"/>
                <w:sz w:val="22"/>
                <w:szCs w:val="22"/>
                <w:lang w:val="en-US" w:eastAsia="zh-CN"/>
              </w:rPr>
              <w:t xml:space="preserve">(ISCED level 7 – EQF level 7)</w:t>
            </w:r>
            <w:r>
              <w:rPr>
                <w:rFonts w:ascii="Gentium" w:hAnsi="Gentium"/>
                <w:b/>
                <w:i/>
                <w:lang w:val="en-US"/>
              </w:rPr>
            </w:r>
            <w:r>
              <w:rPr>
                <w:rFonts w:ascii="Gentium" w:hAnsi="Gentium"/>
                <w:b/>
                <w:i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1.6. Programul de studii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/>
            <w:tcW w:w="2959" w:type="pct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Masterat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Teologie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Aplicată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: 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lucrarea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 cu 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tinerii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Gentium" w:hAnsi="Gentium" w:eastAsia="Liberation Sans-Italic-Bold"/>
                <w:b/>
                <w:color w:val="000000"/>
                <w:sz w:val="22"/>
                <w:szCs w:val="22"/>
                <w:lang w:val="en-US" w:eastAsia="zh-CN"/>
              </w:rPr>
              <w:t xml:space="preserve">ș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i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familiile</w:t>
            </w:r>
            <w:r>
              <w:rPr>
                <w:rFonts w:ascii="Gentium" w:hAnsi="Gentium" w:eastAsia="Arial-Italic-Bold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rFonts w:ascii="Gentium" w:hAnsi="Gentium"/>
          <w:b/>
        </w:rPr>
      </w:pPr>
      <w:r>
        <w:rPr>
          <w:rFonts w:ascii="Gentium" w:hAnsi="Gentium"/>
          <w:b/>
        </w:rPr>
        <w:t xml:space="preserve">Date despre disciplină</w:t>
      </w:r>
      <w:r>
        <w:rPr>
          <w:rFonts w:ascii="Gentium" w:hAnsi="Gentium"/>
          <w:b/>
        </w:rPr>
      </w:r>
      <w:r>
        <w:rPr>
          <w:rFonts w:ascii="Gentium" w:hAnsi="Gentium"/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902"/>
        <w:gridCol w:w="535"/>
        <w:gridCol w:w="219"/>
        <w:gridCol w:w="1490"/>
        <w:gridCol w:w="803"/>
        <w:gridCol w:w="1683"/>
        <w:gridCol w:w="1273"/>
        <w:gridCol w:w="708"/>
        <w:gridCol w:w="8"/>
        <w:gridCol w:w="1517"/>
      </w:tblGrid>
      <w:tr>
        <w:trPr/>
        <w:tc>
          <w:tcPr>
            <w:gridSpan w:val="3"/>
            <w:shd w:val="clear" w:color="ffffff" w:fill="ffffff"/>
            <w:tcBorders/>
            <w:tcW w:w="1310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2.1. Denumirea disciplinei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gridSpan w:val="3"/>
            <w:shd w:val="clear" w:color="ffffff" w:fill="d9d9d9"/>
            <w:tcBorders/>
            <w:tcW w:w="1961" w:type="pct"/>
            <w:textDirection w:val="lrTb"/>
            <w:noWrap w:val="false"/>
          </w:tcPr>
          <w:p>
            <w:pPr>
              <w:pStyle w:val="1072"/>
              <w:pBdr/>
              <w:spacing/>
              <w:ind/>
              <w:jc w:val="center"/>
              <w:rPr>
                <w:rFonts w:ascii="Gentium" w:hAnsi="Gentium" w:cs="Times New Roman"/>
                <w:b/>
                <w:color w:val="auto"/>
                <w:sz w:val="22"/>
                <w:szCs w:val="22"/>
                <w:lang w:val="ro-RO"/>
              </w:rPr>
            </w:pPr>
            <w:r>
              <w:rPr>
                <w:rFonts w:ascii="Gentium" w:hAnsi="Gentium"/>
                <w:sz w:val="22"/>
                <w:szCs w:val="22"/>
                <w:lang w:val="ro-RO" w:bidi="he-IL"/>
              </w:rPr>
              <w:t xml:space="preserve">Cultură, Comunitate, </w:t>
            </w:r>
            <w:r>
              <w:rPr>
                <w:rFonts w:ascii="Gentium" w:hAnsi="Gentium"/>
                <w:sz w:val="22"/>
                <w:szCs w:val="22"/>
                <w:lang w:val="ro-RO" w:bidi="he-IL"/>
              </w:rPr>
              <w:t xml:space="preserve">Comunicare</w:t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val="ro-RO"/>
              </w:rPr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val="ro-RO"/>
              </w:rPr>
            </w:r>
          </w:p>
        </w:tc>
        <w:tc>
          <w:tcPr>
            <w:gridSpan w:val="3"/>
            <w:shd w:val="clear" w:color="ffffff" w:fill="ffffff"/>
            <w:tcBorders/>
            <w:tcW w:w="98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2.2. Cod disciplină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/>
            <w:tcW w:w="748" w:type="pct"/>
            <w:textDirection w:val="lrTb"/>
            <w:noWrap w:val="false"/>
          </w:tcPr>
          <w:p>
            <w:pPr>
              <w:pStyle w:val="1072"/>
              <w:pBdr/>
              <w:spacing/>
              <w:ind/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val="ro-RO" w:eastAsia="ro-RO"/>
              </w:rPr>
              <w:t xml:space="preserve">M</w:t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</w:rPr>
              <w:t xml:space="preserve">C</w:t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</w:rPr>
              <w:t xml:space="preserve">CC0201</w:t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</w:r>
          </w:p>
          <w:p>
            <w:pPr>
              <w:pStyle w:val="1072"/>
              <w:pBdr/>
              <w:spacing/>
              <w:ind/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  <w:t xml:space="preserve">M+cod+an+s</w:t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</w:r>
            <w:r>
              <w:rPr>
                <w:rFonts w:ascii="Gentium" w:hAnsi="Gentium" w:cs="Times New Roman"/>
                <w:b/>
                <w:color w:val="auto"/>
                <w:sz w:val="22"/>
                <w:szCs w:val="22"/>
                <w:lang w:eastAsia="ro-RO"/>
              </w:rPr>
            </w:r>
          </w:p>
        </w:tc>
      </w:tr>
      <w:tr>
        <w:trPr/>
        <w:tc>
          <w:tcPr>
            <w:gridSpan w:val="4"/>
            <w:shd w:val="clear" w:color="ffffff" w:fill="ffffff"/>
            <w:tcBorders/>
            <w:tcW w:w="20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2.3. Titularul de curs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gridSpan w:val="6"/>
            <w:shd w:val="clear" w:color="ffffff" w:fill="ffffff"/>
            <w:tcBorders/>
            <w:tcW w:w="295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  <w:t xml:space="preserve">C</w:t>
            </w:r>
            <w:r>
              <w:rPr>
                <w:rFonts w:ascii="Gentium" w:hAnsi="Gentium"/>
                <w:b/>
              </w:rPr>
              <w:t xml:space="preserve">onf. dr. </w:t>
            </w:r>
            <w:r>
              <w:rPr>
                <w:rFonts w:ascii="Gentium" w:hAnsi="Gentium"/>
                <w:b/>
                <w:lang w:val="en-US"/>
              </w:rPr>
              <w:t xml:space="preserve">Baban</w:t>
            </w:r>
            <w:r>
              <w:rPr>
                <w:rFonts w:ascii="Gentium" w:hAnsi="Gentium"/>
                <w:b/>
                <w:lang w:val="en-US"/>
              </w:rPr>
              <w:t xml:space="preserve"> Octavian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/>
        <w:tc>
          <w:tcPr>
            <w:gridSpan w:val="4"/>
            <w:shd w:val="clear" w:color="ffffff" w:fill="ffffff"/>
            <w:tcBorders/>
            <w:tcW w:w="20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2.4. Titularul de seminar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gridSpan w:val="6"/>
            <w:shd w:val="clear" w:color="ffffff" w:fill="ffffff"/>
            <w:tcBorders/>
            <w:tcW w:w="295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  <w:b/>
              </w:rPr>
              <w:t xml:space="preserve"> </w:t>
            </w:r>
            <w:r>
              <w:rPr>
                <w:rFonts w:ascii="Gentium" w:hAnsi="Gentium"/>
                <w:b/>
                <w:lang w:val="en-US"/>
              </w:rPr>
              <w:t xml:space="preserve">Conf. dr. </w:t>
            </w:r>
            <w:r>
              <w:rPr>
                <w:rFonts w:ascii="Gentium" w:hAnsi="Gentium"/>
                <w:b/>
                <w:lang w:val="en-US"/>
              </w:rPr>
              <w:t xml:space="preserve">Baban</w:t>
            </w:r>
            <w:r>
              <w:rPr>
                <w:rFonts w:ascii="Gentium" w:hAnsi="Gentium"/>
                <w:b/>
                <w:lang w:val="en-US"/>
              </w:rPr>
              <w:t xml:space="preserve"> Octavian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938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2.5. Anul de studiu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/>
            <w:tcW w:w="26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I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843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2.6. Semestrul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/>
            <w:tcW w:w="39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2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458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 w:right="-107"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2.7. Tipul de evaluare (E/C/VP)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/>
            <w:tcW w:w="34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  <w:lang w:val="en-US"/>
              </w:rPr>
              <w:t xml:space="preserve">E</w:t>
            </w:r>
            <w:r>
              <w:rPr>
                <w:rFonts w:ascii="Gentium" w:hAnsi="Gentium"/>
                <w:b/>
              </w:rPr>
            </w:r>
            <w:r>
              <w:rPr>
                <w:rFonts w:ascii="Gentium" w:hAnsi="Gentium"/>
                <w:b/>
              </w:rPr>
            </w:r>
          </w:p>
        </w:tc>
        <w:tc>
          <w:tcPr>
            <w:gridSpan w:val="2"/>
            <w:shd w:val="clear" w:color="ffffff" w:fill="ffffff"/>
            <w:tcBorders/>
            <w:tcW w:w="75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</w:rPr>
              <w:t xml:space="preserve">OB-DA</w:t>
            </w:r>
            <w:r>
              <w:rPr>
                <w:rFonts w:ascii="Gentium" w:hAnsi="Gentium"/>
                <w:b/>
              </w:rPr>
            </w:r>
            <w:r>
              <w:rPr>
                <w:rFonts w:ascii="Gentium" w:hAnsi="Gentium"/>
                <w:b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rFonts w:ascii="Gentium" w:hAnsi="Gentium"/>
          <w:b/>
        </w:rPr>
      </w:pPr>
      <w:r>
        <w:rPr>
          <w:rFonts w:ascii="Gentium" w:hAnsi="Gentium"/>
          <w:b/>
        </w:rPr>
        <w:t xml:space="preserve">Timpul total estimat</w:t>
      </w:r>
      <w:r>
        <w:rPr>
          <w:rFonts w:ascii="Gentium" w:hAnsi="Gentium"/>
          <w:b/>
        </w:rPr>
      </w:r>
      <w:r>
        <w:rPr>
          <w:rFonts w:ascii="Gentium" w:hAnsi="Gentium"/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212"/>
        <w:gridCol w:w="1117"/>
        <w:gridCol w:w="977"/>
        <w:gridCol w:w="1140"/>
        <w:gridCol w:w="1006"/>
        <w:gridCol w:w="1190"/>
        <w:gridCol w:w="1255"/>
        <w:gridCol w:w="1241"/>
      </w:tblGrid>
      <w:tr>
        <w:trPr/>
        <w:tc>
          <w:tcPr>
            <w:shd w:val="clear" w:color="ffffff" w:fill="ffffff"/>
            <w:tcBorders>
              <w:bottom w:val="single" w:color="000000" w:sz="4" w:space="0"/>
            </w:tcBorders>
            <w:tcW w:w="221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3.1. Numar ore pe saptamana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11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 xml:space="preserve">3</w:t>
            </w:r>
            <w:r>
              <w:rPr>
                <w:rFonts w:ascii="Gentium" w:hAnsi="Gentium"/>
                <w:lang w:val="en-US"/>
              </w:rPr>
            </w:r>
            <w:r>
              <w:rPr>
                <w:rFonts w:ascii="Gentium" w:hAnsi="Gentium"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11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din care: 3.2. curs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>
              <w:bottom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2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44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3.3. seminar/laborator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d9d9d9"/>
            <w:tcBorders>
              <w:bottom w:val="single" w:color="000000" w:sz="4" w:space="0"/>
            </w:tcBorders>
            <w:tcW w:w="124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</w:rPr>
              <w:t xml:space="preserve">1</w:t>
            </w:r>
            <w:r>
              <w:rPr>
                <w:rFonts w:ascii="Gentium" w:hAnsi="Gentium"/>
                <w:b/>
              </w:rPr>
            </w:r>
            <w:r>
              <w:rPr>
                <w:rFonts w:ascii="Gentium" w:hAnsi="Gentium"/>
                <w:b/>
              </w:rPr>
            </w:r>
          </w:p>
        </w:tc>
      </w:tr>
      <w:tr>
        <w:trPr/>
        <w:tc>
          <w:tcPr>
            <w:shd w:val="clear" w:color="ffffff" w:fill="ffffff"/>
            <w:tcBorders/>
            <w:tcW w:w="221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3.4. Total ore din planul de învăţămînt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111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42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211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din care: 3.5. curs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1006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en-US"/>
              </w:rPr>
              <w:t xml:space="preserve">28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244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3.6. seminar/laborator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124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</w:rPr>
              <w:t xml:space="preserve">14</w:t>
            </w:r>
            <w:r>
              <w:rPr>
                <w:rFonts w:ascii="Gentium" w:hAnsi="Gentium"/>
                <w:b/>
              </w:rPr>
            </w:r>
            <w:r>
              <w:rPr>
                <w:rFonts w:ascii="Gentium" w:hAnsi="Gentium"/>
                <w:b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889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Distribuţia fondului de timp de studiu individual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124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ore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8897" w:type="dxa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Studiul tematic după manual, suport de curs, bibliografie şi notiţe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124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 xml:space="preserve">2</w:t>
            </w:r>
            <w:r>
              <w:rPr>
                <w:rFonts w:ascii="Gentium" w:hAnsi="Gentium"/>
                <w:lang w:val="en-US"/>
              </w:rPr>
              <w:t xml:space="preserve">3</w:t>
            </w:r>
            <w:r>
              <w:rPr>
                <w:rFonts w:ascii="Gentium" w:hAnsi="Gentium"/>
                <w:lang w:val="en-US"/>
              </w:rPr>
            </w:r>
            <w:r>
              <w:rPr>
                <w:rFonts w:ascii="Gentium" w:hAnsi="Gentium"/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8897" w:type="dxa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Documentare suplimentară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124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</w:rPr>
              <w:t xml:space="preserve">33</w:t>
            </w:r>
            <w:r>
              <w:rPr>
                <w:rFonts w:ascii="Gentium" w:hAnsi="Gentium"/>
                <w:lang w:val="en-US"/>
              </w:rPr>
            </w:r>
            <w:r>
              <w:rPr>
                <w:rFonts w:ascii="Gentium" w:hAnsi="Gentium"/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8897" w:type="dxa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Studiu aplicativ: seminarii/laboratoare, teme, referate, portofolii şi eseuri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124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</w:rPr>
              <w:t xml:space="preserve">2</w:t>
            </w:r>
            <w:r>
              <w:rPr>
                <w:rFonts w:ascii="Gentium" w:hAnsi="Gentium"/>
              </w:rPr>
              <w:t xml:space="preserve">7</w:t>
            </w:r>
            <w:r>
              <w:rPr>
                <w:rFonts w:ascii="Gentium" w:hAnsi="Gentium"/>
                <w:lang w:val="en-US"/>
              </w:rPr>
            </w:r>
            <w:r>
              <w:rPr>
                <w:rFonts w:ascii="Gentium" w:hAnsi="Gentium"/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889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Total ore  activităţi individuale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124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  <w:lang w:val="ro-RO"/>
              </w:rPr>
              <w:t xml:space="preserve">83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430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3.7 Total ore studiu individual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gridSpan w:val="3"/>
            <w:shd w:val="clear" w:color="ffffff" w:fill="ffffff"/>
            <w:tcBorders/>
            <w:tcW w:w="333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 xml:space="preserve">83</w:t>
            </w:r>
            <w:r>
              <w:rPr>
                <w:rFonts w:ascii="Gentium" w:hAnsi="Gentium"/>
                <w:lang w:val="en-US"/>
              </w:rPr>
            </w:r>
            <w:r>
              <w:rPr>
                <w:rFonts w:ascii="Gentium" w:hAnsi="Gentium"/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430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3.8 Total ore din planul de învăţământ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gridSpan w:val="3"/>
            <w:shd w:val="clear" w:color="ffffff" w:fill="ffffff"/>
            <w:tcBorders/>
            <w:tcW w:w="333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lang w:val="en-US"/>
              </w:rPr>
            </w:pPr>
            <w:r>
              <w:rPr>
                <w:rFonts w:ascii="Gentium" w:hAnsi="Gentium"/>
                <w:lang w:val="en-US"/>
              </w:rPr>
              <w:t xml:space="preserve">42</w:t>
            </w:r>
            <w:r>
              <w:rPr>
                <w:rFonts w:ascii="Gentium" w:hAnsi="Gentium"/>
                <w:lang w:val="en-US"/>
              </w:rPr>
            </w:r>
            <w:r>
              <w:rPr>
                <w:rFonts w:ascii="Gentium" w:hAnsi="Gentium"/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430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3.9 Total ore pe semestru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gridSpan w:val="3"/>
            <w:shd w:val="clear" w:color="ffffff" w:fill="ffffff"/>
            <w:tcBorders/>
            <w:tcW w:w="333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  <w:lang w:val="en-US"/>
              </w:rPr>
            </w:pPr>
            <w:r>
              <w:rPr>
                <w:rFonts w:ascii="Gentium" w:hAnsi="Gentium"/>
                <w:b/>
              </w:rPr>
              <w:t xml:space="preserve">1</w:t>
            </w:r>
            <w:r>
              <w:rPr>
                <w:rFonts w:ascii="Gentium" w:hAnsi="Gentium"/>
                <w:b/>
                <w:lang w:val="en-US"/>
              </w:rPr>
              <w:t xml:space="preserve">25</w:t>
            </w:r>
            <w:r>
              <w:rPr>
                <w:rFonts w:ascii="Gentium" w:hAnsi="Gentium"/>
                <w:b/>
                <w:lang w:val="en-US"/>
              </w:rPr>
            </w:r>
            <w:r>
              <w:rPr>
                <w:rFonts w:ascii="Gentium" w:hAnsi="Gentium"/>
                <w:b/>
                <w:lang w:val="en-US"/>
              </w:rPr>
            </w:r>
          </w:p>
        </w:tc>
      </w:tr>
      <w:tr>
        <w:trPr>
          <w:gridAfter w:val="2"/>
          <w:trHeight w:val="95"/>
        </w:trPr>
        <w:tc>
          <w:tcPr>
            <w:gridSpan w:val="3"/>
            <w:shd w:val="clear" w:color="ffffff" w:fill="ffffff"/>
            <w:tcBorders/>
            <w:tcW w:w="430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3.10 Numărul de credite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gridSpan w:val="3"/>
            <w:shd w:val="clear" w:color="ffffff" w:fill="f2f2f2"/>
            <w:tcBorders/>
            <w:tcW w:w="333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rFonts w:ascii="Gentium" w:hAnsi="Gentium"/>
                <w:b/>
              </w:rPr>
            </w:pPr>
            <w:r>
              <w:rPr>
                <w:rFonts w:ascii="Gentium" w:hAnsi="Gentium"/>
                <w:b/>
              </w:rPr>
              <w:t xml:space="preserve">5</w:t>
            </w:r>
            <w:r>
              <w:rPr>
                <w:rFonts w:ascii="Gentium" w:hAnsi="Gentium"/>
                <w:b/>
              </w:rPr>
            </w:r>
            <w:r>
              <w:rPr>
                <w:rFonts w:ascii="Gentium" w:hAnsi="Gentium"/>
                <w:b/>
              </w:rPr>
            </w:r>
          </w:p>
        </w:tc>
      </w:tr>
    </w:tbl>
    <w:p>
      <w:pPr>
        <w:widowControl w:val="false"/>
        <w:pBdr/>
        <w:spacing/>
        <w:ind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widowControl w:val="false"/>
        <w:pBdr/>
        <w:spacing/>
        <w:ind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widowControl w:val="false"/>
        <w:pBdr/>
        <w:spacing/>
        <w:ind/>
        <w:rPr>
          <w:rFonts w:ascii="Gentium" w:hAnsi="Gentium"/>
        </w:rPr>
      </w:pPr>
      <w:r>
        <w:rPr>
          <w:rFonts w:ascii="Gentium" w:hAnsi="Gentium"/>
          <w:b/>
        </w:rPr>
        <w:t xml:space="preserve">5. Condiţii</w:t>
      </w:r>
      <w:r>
        <w:rPr>
          <w:rFonts w:ascii="Gentium" w:hAnsi="Gentium"/>
        </w:rPr>
        <w:t xml:space="preserve"> (acolo unde este cazul)</w:t>
      </w:r>
      <w:r>
        <w:rPr>
          <w:rFonts w:ascii="Gentium" w:hAnsi="Gentium"/>
        </w:rPr>
      </w:r>
      <w:r>
        <w:rPr>
          <w:rFonts w:ascii="Gentium" w:hAnsi="Gentium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398"/>
        <w:gridCol w:w="5740"/>
      </w:tblGrid>
      <w:tr>
        <w:trPr/>
        <w:tc>
          <w:tcPr>
            <w:shd w:val="clear" w:color="ffffff" w:fill="ffffff"/>
            <w:tcBorders/>
            <w:tcW w:w="2169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5.1. De desfăşurare a cursului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831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Sală dotată cu tablă, videoproiector, laptop, instrumentar şi materiale pentru restaurare.</w:t>
            </w: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</w:p>
        </w:tc>
      </w:tr>
      <w:tr>
        <w:trPr/>
        <w:tc>
          <w:tcPr>
            <w:shd w:val="clear" w:color="ffffff" w:fill="ffffff"/>
            <w:tcBorders/>
            <w:tcW w:w="2169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5.2. De desfăşurarea a seminarului/laboratorului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2831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Sală dotată cu tablă, videoproiector, laptop, instrumentar şi materiale pentru restaurare.</w:t>
            </w: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</w:p>
        </w:tc>
      </w:tr>
    </w:tbl>
    <w:p>
      <w:pPr>
        <w:pBdr/>
        <w:spacing/>
        <w:ind w:firstLine="709"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pBdr/>
        <w:spacing/>
        <w:ind w:firstLine="709"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pBdr/>
        <w:spacing/>
        <w:ind/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 xml:space="preserve">6. Competenţele acumulate</w:t>
      </w:r>
      <w:r>
        <w:rPr>
          <w:rFonts w:ascii="Gentium" w:hAnsi="Gentium"/>
          <w:b/>
          <w:sz w:val="22"/>
          <w:szCs w:val="22"/>
        </w:rPr>
      </w:r>
      <w:r>
        <w:rPr>
          <w:rFonts w:ascii="Gentium" w:hAnsi="Gentium"/>
          <w:b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81"/>
        <w:gridCol w:w="8981"/>
      </w:tblGrid>
      <w:tr>
        <w:trPr>
          <w:cantSplit/>
          <w:trHeight w:val="1165"/>
        </w:trPr>
        <w:tc>
          <w:tcPr>
            <w:shd w:val="clear" w:color="ffffff" w:fill="ffffff"/>
            <w:tcBorders/>
            <w:tcW w:w="981" w:type="dxa"/>
            <w:vAlign w:val="center"/>
            <w:textDirection w:val="btLr"/>
            <w:noWrap w:val="false"/>
          </w:tcPr>
          <w:p>
            <w:pPr>
              <w:pBdr/>
              <w:spacing/>
              <w:ind/>
              <w:jc w:val="center"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Competenţe profesionale</w:t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898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  <w:highlight w:val="none"/>
                <w:lang w:val="ro-RO"/>
              </w:rPr>
              <w:t xml:space="preserve">C10. Conștientizarea aspectelor interculturale ale comunicării (ESCO)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  <w:highlight w:val="none"/>
                <w:lang w:val="en-US"/>
              </w:rPr>
            </w:pPr>
            <w:r>
              <w:rPr>
                <w:rFonts w:ascii="Gentium" w:hAnsi="Gentium"/>
                <w:sz w:val="22"/>
                <w:szCs w:val="22"/>
                <w:lang w:val="ro-RO"/>
              </w:rPr>
              <w:t xml:space="preserve">CP1.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Înţelegerea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teoriilor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comunicării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și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a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legăturii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lor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cu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predicarea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ro-RO"/>
              </w:rPr>
              <w:t xml:space="preserve">și interpretarea mesajului </w:t>
            </w:r>
            <w:r>
              <w:rPr>
                <w:rFonts w:ascii="Gentium" w:hAnsi="Gentium"/>
                <w:sz w:val="22"/>
                <w:szCs w:val="22"/>
                <w:lang w:val="ro-RO"/>
              </w:rPr>
              <w:t xml:space="preserve">Noului Testament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.</w:t>
            </w:r>
            <w:r>
              <w:rPr>
                <w:rFonts w:ascii="Gentium" w:hAnsi="Gentium"/>
                <w:sz w:val="22"/>
                <w:szCs w:val="22"/>
                <w:highlight w:val="none"/>
                <w:lang w:val="en-US"/>
              </w:rPr>
            </w:r>
            <w:r>
              <w:rPr>
                <w:rFonts w:ascii="Gentium" w:hAnsi="Gentium"/>
                <w:sz w:val="22"/>
                <w:szCs w:val="22"/>
                <w:highlight w:val="none"/>
                <w:lang w:val="en-US"/>
              </w:rPr>
            </w:r>
          </w:p>
          <w:p>
            <w:pPr>
              <w:pBdr/>
              <w:tabs>
                <w:tab w:val="right" w:leader="none" w:pos="8765"/>
              </w:tabs>
              <w:spacing/>
              <w:ind/>
              <w:rPr>
                <w:rFonts w:ascii="Gentium" w:hAnsi="Gentium"/>
                <w:sz w:val="22"/>
                <w:szCs w:val="22"/>
                <w:highlight w:val="none"/>
              </w:rPr>
            </w:pPr>
            <w:r>
              <w:rPr>
                <w:rFonts w:ascii="Gentium" w:hAnsi="Gentium"/>
                <w:sz w:val="22"/>
                <w:szCs w:val="22"/>
                <w:lang w:val="ro-RO"/>
              </w:rPr>
              <w:t xml:space="preserve">CP2.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Înţelegerea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structurii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  <w:lang w:val="ro-RO"/>
              </w:rPr>
              <w:t xml:space="preserve">și funcționării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sociale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a 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comunității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sz w:val="22"/>
                <w:szCs w:val="22"/>
                <w:lang w:val="ro-RO"/>
              </w:rPr>
              <w:t xml:space="preserve">a influenței culturii în formarea personalității</w:t>
            </w:r>
            <w:r>
              <w:rPr>
                <w:rFonts w:ascii="Gentium" w:hAnsi="Gentium"/>
                <w:sz w:val="22"/>
                <w:szCs w:val="22"/>
                <w:lang w:val="ro-RO"/>
              </w:rPr>
              <w:t xml:space="preserve"> și identității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.</w:t>
            </w:r>
            <w:r>
              <w:rPr>
                <w:rFonts w:ascii="Gentium" w:hAnsi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sz w:val="22"/>
                <w:szCs w:val="22"/>
              </w:rPr>
              <w:tab/>
            </w:r>
            <w:r>
              <w:rPr>
                <w:rFonts w:ascii="Gentium" w:hAnsi="Gentium"/>
                <w:sz w:val="22"/>
                <w:szCs w:val="22"/>
                <w:highlight w:val="none"/>
              </w:rPr>
            </w:r>
            <w:r>
              <w:rPr>
                <w:rFonts w:ascii="Gentium" w:hAnsi="Gentium"/>
                <w:sz w:val="22"/>
                <w:szCs w:val="22"/>
                <w:highlight w:val="none"/>
              </w:rPr>
            </w:r>
          </w:p>
          <w:p>
            <w:pPr>
              <w:pBdr/>
              <w:tabs>
                <w:tab w:val="right" w:leader="none" w:pos="8765"/>
              </w:tabs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  <w:highlight w:val="none"/>
              </w:rPr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</w:tr>
      <w:tr>
        <w:trPr>
          <w:cantSplit/>
          <w:trHeight w:val="1267"/>
        </w:trPr>
        <w:tc>
          <w:tcPr>
            <w:shd w:val="clear" w:color="ffffff" w:fill="ffffff"/>
            <w:tcBorders/>
            <w:tcW w:w="981" w:type="dxa"/>
            <w:textDirection w:val="btLr"/>
            <w:noWrap w:val="false"/>
          </w:tcPr>
          <w:p>
            <w:pPr>
              <w:pBdr/>
              <w:spacing/>
              <w:ind/>
              <w:rPr>
                <w:rFonts w:ascii="Gentium" w:hAnsi="Gentium" w:cs="Gentium"/>
                <w:b/>
                <w:sz w:val="20"/>
                <w:szCs w:val="20"/>
              </w:rPr>
            </w:pPr>
            <w:r>
              <w:rPr>
                <w:rFonts w:ascii="Gentium" w:hAnsi="Gentium" w:eastAsia="Gentium" w:cs="Gentium"/>
                <w:b/>
                <w:sz w:val="20"/>
                <w:szCs w:val="20"/>
              </w:rPr>
              <w:t xml:space="preserve">Competenţe transversale</w:t>
            </w:r>
            <w:r>
              <w:rPr>
                <w:rFonts w:ascii="Gentium" w:hAnsi="Gentium" w:eastAsia="Gentium" w:cs="Gentium"/>
                <w:b/>
                <w:sz w:val="20"/>
                <w:szCs w:val="20"/>
              </w:rPr>
            </w:r>
            <w:r>
              <w:rPr>
                <w:rFonts w:ascii="Gentium" w:hAnsi="Gentium" w:cs="Gentium"/>
                <w:b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8981" w:type="dxa"/>
            <w:textDirection w:val="lrTb"/>
            <w:noWrap w:val="false"/>
          </w:tcPr>
          <w:p>
            <w:pPr>
              <w:numPr>
                <w:ilvl w:val="0"/>
                <w:numId w:val="12"/>
              </w:numPr>
              <w:pBdr/>
              <w:spacing/>
              <w:ind w:left="0"/>
              <w:rPr>
                <w:rFonts w:ascii="Gentium" w:hAnsi="Gentium" w:cs="Gentium"/>
                <w:sz w:val="22"/>
                <w:szCs w:val="22"/>
              </w:rPr>
            </w:pPr>
            <w:r>
              <w:rPr>
                <w:rFonts w:ascii="Gentium" w:hAnsi="Gentium" w:eastAsia="Gentium" w:cs="Gentium"/>
                <w:sz w:val="22"/>
                <w:szCs w:val="22"/>
                <w:lang w:val="ro-RO"/>
              </w:rPr>
              <w:t xml:space="preserve">C</w:t>
            </w:r>
            <w:r>
              <w:rPr>
                <w:rFonts w:ascii="Gentium" w:hAnsi="Gentium" w:eastAsia="Gentium" w:cs="Gentium"/>
                <w:sz w:val="22"/>
                <w:szCs w:val="22"/>
                <w:lang w:val="ro-RO"/>
              </w:rPr>
              <w:t xml:space="preserve">S1.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Înţele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gerea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contribuției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creștine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 la 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cultura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societății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și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 a 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nevoiei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 de 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încurajare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 a 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unei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comunicări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eficiente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deschise</w:t>
            </w:r>
            <w:r>
              <w:rPr>
                <w:rFonts w:ascii="Gentium" w:hAnsi="Gentium" w:eastAsia="Gentium" w:cs="Gentium"/>
                <w:sz w:val="22"/>
                <w:szCs w:val="22"/>
                <w:lang w:val="en-US"/>
              </w:rPr>
              <w:t xml:space="preserve">, constructive.</w:t>
            </w:r>
            <w:r>
              <w:rPr>
                <w:rFonts w:ascii="Gentium" w:hAnsi="Gentium" w:eastAsia="Gentium" w:cs="Gentium"/>
                <w:sz w:val="22"/>
                <w:szCs w:val="22"/>
              </w:rPr>
            </w:r>
            <w:r>
              <w:rPr>
                <w:rFonts w:ascii="Gentium" w:hAnsi="Gentium" w:cs="Gentium"/>
                <w:sz w:val="22"/>
                <w:szCs w:val="22"/>
              </w:rPr>
            </w:r>
          </w:p>
          <w:p>
            <w:pPr>
              <w:numPr>
                <w:ilvl w:val="0"/>
                <w:numId w:val="12"/>
              </w:numPr>
              <w:pBdr/>
              <w:spacing/>
              <w:ind w:left="0"/>
              <w:rPr>
                <w:rFonts w:ascii="Gentium" w:hAnsi="Gentium" w:cs="Gentium"/>
                <w:sz w:val="22"/>
                <w:szCs w:val="22"/>
              </w:rPr>
            </w:pPr>
            <w:r>
              <w:rPr>
                <w:rFonts w:ascii="Gentium" w:hAnsi="Gentium" w:eastAsia="Gentium" w:cs="Gentium"/>
                <w:sz w:val="22"/>
                <w:szCs w:val="22"/>
                <w:highlight w:val="none"/>
                <w:lang w:val="ro-RO"/>
              </w:rPr>
              <w:t xml:space="preserve">CS2. </w:t>
            </w:r>
            <w:r>
              <w:rPr>
                <w:rFonts w:ascii="Gentium" w:hAnsi="Gentium" w:eastAsia="Gentium" w:cs="Gentium"/>
                <w:sz w:val="22"/>
                <w:szCs w:val="22"/>
                <w:lang w:val="ro-RO"/>
              </w:rPr>
              <w:t xml:space="preserve">Dezvoltarea </w:t>
            </w:r>
            <w:r>
              <w:rPr>
                <w:rFonts w:ascii="Gentium" w:hAnsi="Gentium" w:eastAsia="Gentium" w:cs="Gentium"/>
                <w:sz w:val="22"/>
                <w:szCs w:val="22"/>
                <w:lang w:val="ro-RO"/>
              </w:rPr>
              <w:t xml:space="preserve">capacității</w:t>
            </w:r>
            <w:r>
              <w:rPr>
                <w:rFonts w:ascii="Gentium" w:hAnsi="Gentium" w:eastAsia="Gentium" w:cs="Gentium"/>
                <w:sz w:val="22"/>
                <w:szCs w:val="22"/>
                <w:lang w:val="ro-RO"/>
              </w:rPr>
              <w:t xml:space="preserve"> de comunicare culturală şi liturgică, de comunicare în consiliere, de folosire în comunicare a resurselor mass-media şi a celor digitale.</w:t>
            </w:r>
            <w:r>
              <w:rPr>
                <w:rFonts w:ascii="Gentium" w:hAnsi="Gentium" w:eastAsia="Gentium" w:cs="Gentium"/>
                <w:sz w:val="22"/>
                <w:szCs w:val="22"/>
              </w:rPr>
            </w:r>
            <w:r>
              <w:rPr>
                <w:rFonts w:ascii="Gentium" w:hAnsi="Gentium" w:cs="Gentium"/>
                <w:sz w:val="22"/>
                <w:szCs w:val="22"/>
              </w:rPr>
            </w:r>
          </w:p>
        </w:tc>
      </w:tr>
    </w:tbl>
    <w:p>
      <w:pPr>
        <w:pBdr/>
        <w:spacing/>
        <w:ind w:firstLine="709"/>
        <w:rPr>
          <w:rFonts w:ascii="Gentium" w:hAnsi="Gentium"/>
          <w:b/>
          <w:sz w:val="16"/>
          <w:szCs w:val="16"/>
        </w:rPr>
      </w:pPr>
      <w:r>
        <w:rPr>
          <w:rFonts w:ascii="Gentium" w:hAnsi="Gentium"/>
          <w:b/>
          <w:sz w:val="16"/>
          <w:szCs w:val="16"/>
        </w:rPr>
      </w:r>
      <w:r>
        <w:rPr>
          <w:rFonts w:ascii="Gentium" w:hAnsi="Gentium"/>
          <w:b/>
          <w:sz w:val="16"/>
          <w:szCs w:val="16"/>
        </w:rPr>
      </w:r>
      <w:r>
        <w:rPr>
          <w:rFonts w:ascii="Gentium" w:hAnsi="Gentium"/>
          <w:b/>
          <w:sz w:val="16"/>
          <w:szCs w:val="16"/>
        </w:rPr>
      </w:r>
    </w:p>
    <w:p>
      <w:pPr>
        <w:pBdr/>
        <w:spacing/>
        <w:ind/>
        <w:rPr>
          <w:rFonts w:ascii="Gentium" w:hAnsi="Gentium"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 xml:space="preserve">7. Obiectivele disciplinei</w:t>
      </w:r>
      <w:r>
        <w:rPr>
          <w:rFonts w:ascii="Gentium" w:hAnsi="Gentium"/>
          <w:sz w:val="22"/>
          <w:szCs w:val="22"/>
        </w:rPr>
        <w:t xml:space="preserve"> (reieşind din grila competenţelor specifice acumulate)</w:t>
      </w:r>
      <w:r>
        <w:rPr>
          <w:rFonts w:ascii="Gentium" w:hAnsi="Gentium"/>
          <w:sz w:val="22"/>
          <w:szCs w:val="22"/>
        </w:rPr>
      </w:r>
      <w:r>
        <w:rPr>
          <w:rFonts w:ascii="Gentium" w:hAnsi="Gentium"/>
          <w:sz w:val="22"/>
          <w:szCs w:val="22"/>
        </w:rPr>
      </w:r>
    </w:p>
    <w:tbl>
      <w:tblPr>
        <w:tblpPr w:horzAnchor="margin" w:tblpXSpec="left" w:vertAnchor="text" w:tblpY="104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32"/>
        <w:gridCol w:w="7130"/>
      </w:tblGrid>
      <w:tr>
        <w:trPr/>
        <w:tc>
          <w:tcPr>
            <w:shd w:val="clear" w:color="ffffff" w:fill="ffffff"/>
            <w:tcBorders/>
            <w:tcW w:w="283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7.1 Obiectivul general al disciplinei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7130" w:type="dxa"/>
            <w:textDirection w:val="lrTb"/>
            <w:noWrap w:val="false"/>
          </w:tcPr>
          <w:p>
            <w:pPr>
              <w:pBdr/>
              <w:tabs>
                <w:tab w:val="center" w:leader="none" w:pos="3457"/>
              </w:tabs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OG1. Înțelegerea relației între cultură, comunitate și comunicare și a ajustărilor dintre ele.</w:t>
            </w:r>
            <w:r>
              <w:rPr>
                <w:rFonts w:ascii="Gentium" w:hAnsi="Gentium"/>
                <w:sz w:val="22"/>
                <w:szCs w:val="22"/>
              </w:rPr>
              <w:tab/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</w:tr>
      <w:tr>
        <w:trPr>
          <w:trHeight w:val="831"/>
        </w:trPr>
        <w:tc>
          <w:tcPr>
            <w:shd w:val="clear" w:color="ffffff" w:fill="ffffff"/>
            <w:tcBorders/>
            <w:tcW w:w="283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7.2 Obiectivele specifice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7130" w:type="dxa"/>
            <w:textDirection w:val="lrTb"/>
            <w:noWrap w:val="false"/>
          </w:tcPr>
          <w:p>
            <w:pPr>
              <w:numPr>
                <w:ilvl w:val="0"/>
                <w:numId w:val="12"/>
              </w:numPr>
              <w:pBdr/>
              <w:spacing/>
              <w:ind w:left="0"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OS1. Înțelegerea elementelor teoriei comunicării, înțelegerea relației între cultură și credința creștină, și în sociologia organizării comunității</w:t>
            </w:r>
            <w:r>
              <w:rPr>
                <w:rFonts w:ascii="Gentium" w:hAnsi="Gentium"/>
                <w:sz w:val="22"/>
                <w:szCs w:val="22"/>
              </w:rPr>
              <w:t xml:space="preserve">.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</w:tr>
    </w:tbl>
    <w:p>
      <w:pPr>
        <w:pBdr/>
        <w:spacing/>
        <w:ind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pBdr/>
        <w:spacing/>
        <w:ind/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 xml:space="preserve">8. Conţinuturi</w:t>
      </w:r>
      <w:r>
        <w:rPr>
          <w:rFonts w:ascii="Gentium" w:hAnsi="Gentium"/>
          <w:b/>
          <w:sz w:val="22"/>
          <w:szCs w:val="22"/>
        </w:rPr>
      </w:r>
      <w:r>
        <w:rPr>
          <w:rFonts w:ascii="Gentium" w:hAnsi="Gentium"/>
          <w:b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812"/>
        <w:gridCol w:w="3516"/>
        <w:gridCol w:w="1810"/>
      </w:tblGrid>
      <w:tr>
        <w:trPr>
          <w:trHeight w:val="550"/>
        </w:trPr>
        <w:tc>
          <w:tcPr>
            <w:shd w:val="clear" w:color="ffffff" w:fill="d9d9d9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8.1. Curs</w:t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Metode de predare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: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expunere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interactivă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descoperire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dirijată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altele</w:t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Observaţii</w:t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Definițiile culturii, elementele unei culturi sau civilizații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Cultură și valori etnice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Cultură și tradiție (religie, folclor, manifestări)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Comunitatea umană, definire, tipuri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Comunitate si identitate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Comunitate și ajutor social</w:t>
            </w:r>
            <w:r>
              <w:rPr>
                <w:rFonts w:ascii="Gentium" w:hAnsi="Gentium"/>
                <w:sz w:val="22"/>
                <w:szCs w:val="22"/>
              </w:rPr>
              <w:t xml:space="preserve">, comunitate și politic</w:t>
            </w:r>
            <w:r>
              <w:rPr>
                <w:rFonts w:ascii="Gentium" w:hAnsi="Gentium"/>
                <w:sz w:val="22"/>
                <w:szCs w:val="22"/>
              </w:rPr>
              <w:t xml:space="preserve">i sociale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Comunitate și viață cultural</w:t>
            </w:r>
            <w:r>
              <w:rPr>
                <w:rFonts w:ascii="Gentium" w:hAnsi="Gentium"/>
                <w:sz w:val="22"/>
                <w:szCs w:val="22"/>
              </w:rPr>
              <w:t xml:space="preserve">ă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Comunicarea: definire și elemente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co</w:t>
            </w:r>
            <w:r>
              <w:rPr>
                <w:rFonts w:ascii="Gentium" w:hAnsi="Gentium"/>
                <w:sz w:val="22"/>
                <w:szCs w:val="22"/>
              </w:rPr>
              <w:t xml:space="preserve">dificare / decodificare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</w:t>
            </w:r>
            <w:r>
              <w:rPr>
                <w:rFonts w:ascii="Gentium" w:hAnsi="Gentium"/>
                <w:sz w:val="22"/>
                <w:szCs w:val="22"/>
              </w:rPr>
              <w:t xml:space="preserve">limbaje de comunicare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spiritualitate, constantele existenței umane și ale acțiunii divine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traducerea Bibliei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</w:t>
            </w:r>
            <w:r>
              <w:rPr>
                <w:rFonts w:ascii="Gentium" w:hAnsi="Gentium"/>
                <w:sz w:val="22"/>
                <w:szCs w:val="22"/>
              </w:rPr>
              <w:t xml:space="preserve">misiune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Interacțiune între cultură, comunitate, comunicare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Expunere, prezentare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2 ore fizice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>
          <w:trHeight w:val="892"/>
        </w:trPr>
        <w:tc>
          <w:tcPr>
            <w:shd w:val="clear" w:color="ffffff" w:fill="d9d9d9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8.2. Seminar / laborator</w:t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Metode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de seminar: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dezbatere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analiză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 de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caz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Gentium" w:hAnsi="Gentium"/>
                <w:b/>
                <w:sz w:val="22"/>
                <w:szCs w:val="22"/>
                <w:lang w:val="en-US"/>
              </w:rPr>
              <w:t xml:space="preserve">lucrare</w:t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Definițiile culturii, elementele unei culturi sau civilizații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Cultură și valori etnice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Cultură și tradiție (religie, foclor, manifestări)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Comunitatea umană, definire, tipuri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Comunitate si identitate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Comunitate și ajutor social</w:t>
            </w:r>
            <w:r>
              <w:rPr>
                <w:rFonts w:ascii="Gentium" w:hAnsi="Gentium"/>
                <w:sz w:val="22"/>
                <w:szCs w:val="22"/>
              </w:rPr>
              <w:t xml:space="preserve">, comunitate și politic</w:t>
            </w:r>
            <w:r>
              <w:rPr>
                <w:rFonts w:ascii="Gentium" w:hAnsi="Gentium"/>
                <w:sz w:val="22"/>
                <w:szCs w:val="22"/>
              </w:rPr>
              <w:t xml:space="preserve">i sociale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Comunitate și viață cultural</w:t>
            </w:r>
            <w:r>
              <w:rPr>
                <w:rFonts w:ascii="Gentium" w:hAnsi="Gentium"/>
                <w:sz w:val="22"/>
                <w:szCs w:val="22"/>
              </w:rPr>
              <w:t xml:space="preserve">ă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Comunicarea: definire și elemente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co</w:t>
            </w:r>
            <w:r>
              <w:rPr>
                <w:rFonts w:ascii="Gentium" w:hAnsi="Gentium"/>
                <w:sz w:val="22"/>
                <w:szCs w:val="22"/>
              </w:rPr>
              <w:t xml:space="preserve">dificare / decodificare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</w:t>
            </w:r>
            <w:r>
              <w:rPr>
                <w:rFonts w:ascii="Gentium" w:hAnsi="Gentium"/>
                <w:sz w:val="22"/>
                <w:szCs w:val="22"/>
              </w:rPr>
              <w:t xml:space="preserve">limbaje de comunicare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spiritualitate, constantele existenței umane și ale acțiunii divine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traducerea Bibliei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Comunicare și </w:t>
            </w:r>
            <w:r>
              <w:rPr>
                <w:rFonts w:ascii="Gentium" w:hAnsi="Gentium"/>
                <w:sz w:val="22"/>
                <w:szCs w:val="22"/>
              </w:rPr>
              <w:t xml:space="preserve">misiune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  <w:t xml:space="preserve">Interacțiune între cultură, comunitate, comunicare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Dezbatere, analiză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 ora fizica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gridSpan w:val="3"/>
            <w:shd w:val="clear" w:color="ffffff" w:fill="ffffff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9. Bibliografie generală</w:t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b/>
                <w:bCs/>
                <w:sz w:val="22"/>
                <w:szCs w:val="22"/>
              </w:rPr>
            </w:pPr>
            <w:r>
              <w:rPr>
                <w:rFonts w:ascii="Gentium" w:hAnsi="Gentium"/>
                <w:b/>
                <w:bCs/>
                <w:sz w:val="22"/>
                <w:szCs w:val="22"/>
              </w:rPr>
              <w:t xml:space="preserve">Bibliografie obligatorie </w:t>
            </w:r>
            <w:r>
              <w:rPr>
                <w:rFonts w:ascii="Gentium" w:hAnsi="Gentium"/>
                <w:b/>
                <w:bCs/>
                <w:sz w:val="22"/>
                <w:szCs w:val="22"/>
              </w:rPr>
            </w:r>
            <w:r>
              <w:rPr>
                <w:rFonts w:ascii="Gentium" w:hAnsi="Gentium"/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A.Barnard și J. Spencer (eds), </w:t>
            </w:r>
            <w:r>
              <w:rPr>
                <w:rFonts w:ascii="Gentium" w:hAnsi="Gentium"/>
                <w:i/>
                <w:iCs/>
              </w:rPr>
              <w:t xml:space="preserve">Encyclopedia of Social and Cultural Anthropology</w:t>
            </w:r>
            <w:r>
              <w:rPr>
                <w:rFonts w:ascii="Gentium" w:hAnsi="Gentium"/>
              </w:rPr>
              <w:t xml:space="preserve">, Routledge: London, 1996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A. Lesenciuc, </w:t>
            </w:r>
            <w:r>
              <w:rPr>
                <w:rFonts w:ascii="Gentium" w:hAnsi="Gentium"/>
                <w:i/>
                <w:iCs/>
              </w:rPr>
              <w:t xml:space="preserve">Teorii ale comunicării</w:t>
            </w:r>
            <w:r>
              <w:rPr>
                <w:rFonts w:ascii="Gentium" w:hAnsi="Gentium"/>
              </w:rPr>
              <w:t xml:space="preserve">, Editura Henri Coandă: Brașov, 2017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V. Tran, I. Stanciugelu, </w:t>
            </w:r>
            <w:r>
              <w:rPr>
                <w:rFonts w:ascii="Gentium" w:hAnsi="Gentium"/>
                <w:i/>
                <w:iCs/>
              </w:rPr>
              <w:t xml:space="preserve">Teoria comunicării,</w:t>
            </w:r>
            <w:r>
              <w:rPr>
                <w:rFonts w:ascii="Gentium" w:hAnsi="Gentium"/>
              </w:rPr>
              <w:t xml:space="preserve"> Editura David Ogilvy-SNSPA: București, 2001.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b/>
                <w:bCs/>
                <w:sz w:val="22"/>
                <w:szCs w:val="22"/>
              </w:rPr>
            </w:pPr>
            <w:r>
              <w:rPr>
                <w:rFonts w:ascii="Gentium" w:hAnsi="Gentium"/>
                <w:b/>
                <w:bCs/>
                <w:sz w:val="22"/>
                <w:szCs w:val="22"/>
              </w:rPr>
              <w:t xml:space="preserve">Bibliografie optionala</w:t>
            </w:r>
            <w:r>
              <w:rPr>
                <w:rFonts w:ascii="Gentium" w:hAnsi="Gentium"/>
                <w:b/>
                <w:bCs/>
                <w:sz w:val="22"/>
                <w:szCs w:val="22"/>
              </w:rPr>
            </w:r>
            <w:r>
              <w:rPr>
                <w:rFonts w:ascii="Gentium" w:hAnsi="Gentium"/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Bengt Holmberg and Mikael Winninge, eds, </w:t>
            </w:r>
            <w:r>
              <w:rPr>
                <w:rFonts w:ascii="Gentium" w:hAnsi="Gentium"/>
                <w:i/>
                <w:iCs/>
              </w:rPr>
              <w:t xml:space="preserve">Identity Formation in the New Testament</w:t>
            </w:r>
            <w:r>
              <w:rPr>
                <w:rFonts w:ascii="Gentium" w:hAnsi="Gentium"/>
              </w:rPr>
              <w:t xml:space="preserve">, Mohr Siebeck, Tübingen, 2008.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highlight w:val="none"/>
              </w:rPr>
            </w:pPr>
            <w:r>
              <w:rPr>
                <w:rFonts w:ascii="Gentium" w:hAnsi="Gentium"/>
              </w:rPr>
              <w:t xml:space="preserve">J. Brian Tucker and Coleman A. Baker, eds.</w:t>
            </w:r>
            <w:r>
              <w:rPr>
                <w:rFonts w:ascii="Gentium" w:hAnsi="Gentium"/>
                <w:i/>
                <w:iCs/>
              </w:rPr>
              <w:t xml:space="preserve"> T&amp;T Clark Handbook to Social Identity in the New Testament</w:t>
            </w:r>
            <w:r>
              <w:rPr>
                <w:rFonts w:ascii="Gentium" w:hAnsi="Gentium"/>
              </w:rPr>
              <w:t xml:space="preserve">. London: T&amp;T Clark, 2014.</w:t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highlight w:val="none"/>
              </w:rPr>
            </w:pPr>
            <w:r>
              <w:rPr>
                <w:rFonts w:ascii="Gentium" w:hAnsi="Gentium"/>
                <w:highlight w:val="none"/>
              </w:rPr>
            </w:r>
            <w:r>
              <w:t xml:space="preserve">Martin, Glen and McIntosh, Gary.</w:t>
            </w:r>
            <w:r>
              <w:rPr>
                <w:i/>
                <w:iCs/>
              </w:rPr>
              <w:t xml:space="preserve"> Creating Community: Deeper Fellowship Through  Small Groups.</w:t>
            </w:r>
            <w:r>
              <w:t xml:space="preserve"> Nashville: Broadman &amp; Holman Publishers, 1997.  </w:t>
            </w:r>
            <w:r>
              <w:rPr>
                <w:rFonts w:ascii="Gentium" w:hAnsi="Gentium"/>
                <w:highlight w:val="none"/>
              </w:rPr>
            </w:r>
            <w:r>
              <w:rPr>
                <w:rFonts w:ascii="Gentium" w:hAnsi="Gentium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 w:cs="Gentium"/>
                <w:sz w:val="20"/>
                <w:szCs w:val="20"/>
              </w:rPr>
            </w:pPr>
            <w:r>
              <w:rPr>
                <w:rFonts w:ascii="Gentium" w:hAnsi="Gentium" w:eastAsia="Gentium" w:cs="Gentium"/>
                <w:sz w:val="20"/>
                <w:szCs w:val="20"/>
                <w:highlight w:val="none"/>
              </w:rPr>
              <w:t xml:space="preserve">H.R., </w:t>
            </w:r>
            <w:r>
              <w:rPr>
                <w:rFonts w:ascii="Gentium" w:hAnsi="Gentium" w:eastAsia="Gentium" w:cs="Gentium"/>
                <w:color w:val="000000"/>
                <w:sz w:val="20"/>
                <w:szCs w:val="20"/>
              </w:rPr>
              <w:t xml:space="preserve">Patapievici, </w:t>
            </w:r>
            <w:r>
              <w:rPr>
                <w:rFonts w:ascii="Gentium" w:hAnsi="Gentium" w:eastAsia="Gentium" w:cs="Gentium"/>
                <w:i/>
                <w:iCs/>
                <w:color w:val="000000"/>
                <w:sz w:val="20"/>
                <w:szCs w:val="20"/>
              </w:rPr>
              <w:t xml:space="preserve">Omul recent,</w:t>
            </w:r>
            <w:r>
              <w:rPr>
                <w:rFonts w:ascii="Gentium" w:hAnsi="Gentium" w:eastAsia="Gentium" w:cs="Gentium"/>
                <w:color w:val="000000"/>
                <w:sz w:val="20"/>
                <w:szCs w:val="20"/>
              </w:rPr>
              <w:t xml:space="preserve"> București: Ed. Humanitas, 2001.</w:t>
            </w:r>
            <w:r>
              <w:rPr>
                <w:rFonts w:ascii="Gentium" w:hAnsi="Gentium" w:eastAsia="Gentium" w:cs="Gentium"/>
                <w:sz w:val="20"/>
                <w:szCs w:val="20"/>
                <w:highlight w:val="none"/>
              </w:rPr>
            </w:r>
            <w:r>
              <w:rPr>
                <w:rFonts w:ascii="Gentium" w:hAnsi="Gentium" w:cs="Gentium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Gentium" w:hAnsi="Gentium"/>
                <w:sz w:val="22"/>
                <w:szCs w:val="22"/>
              </w:rPr>
            </w:pPr>
            <w:r>
              <w:rPr>
                <w:rFonts w:ascii="Gentium" w:hAnsi="Gentium" w:eastAsia="Gentium" w:cs="Gentium"/>
                <w:sz w:val="20"/>
                <w:szCs w:val="20"/>
              </w:rPr>
            </w:r>
            <w:r>
              <w:rPr>
                <w:rFonts w:ascii="Gentium" w:hAnsi="Gentium"/>
                <w:sz w:val="22"/>
                <w:szCs w:val="22"/>
              </w:rPr>
            </w:r>
            <w:r>
              <w:rPr>
                <w:rFonts w:ascii="Gentium" w:hAnsi="Gentium"/>
                <w:sz w:val="22"/>
                <w:szCs w:val="22"/>
              </w:rPr>
            </w:r>
          </w:p>
        </w:tc>
      </w:tr>
    </w:tbl>
    <w:p>
      <w:pPr>
        <w:pBdr/>
        <w:spacing/>
        <w:ind/>
        <w:jc w:val="center"/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</w:r>
      <w:r>
        <w:rPr>
          <w:rFonts w:ascii="Gentium" w:hAnsi="Gentium"/>
          <w:b/>
          <w:sz w:val="22"/>
          <w:szCs w:val="22"/>
        </w:rPr>
      </w:r>
      <w:r>
        <w:rPr>
          <w:rFonts w:ascii="Gentium" w:hAnsi="Gentium"/>
          <w:b/>
          <w:sz w:val="22"/>
          <w:szCs w:val="22"/>
        </w:rPr>
      </w:r>
    </w:p>
    <w:p>
      <w:pPr>
        <w:pBdr/>
        <w:spacing/>
        <w:ind/>
        <w:rPr>
          <w:rFonts w:ascii="Gentium" w:hAnsi="Gentium"/>
          <w:b/>
          <w:bCs/>
        </w:rPr>
      </w:pPr>
      <w:r>
        <w:rPr>
          <w:rFonts w:ascii="Gentium" w:hAnsi="Gentium"/>
          <w:b/>
          <w:sz w:val="24"/>
          <w:szCs w:val="24"/>
        </w:rPr>
        <w:t xml:space="preserve">10. </w:t>
      </w:r>
      <w:r>
        <w:rPr>
          <w:rFonts w:ascii="Gentium" w:hAnsi="Gentium"/>
          <w:b/>
        </w:rPr>
        <w:t xml:space="preserve">Coroborarea conţinuturilor disciplinei cu aşteptările reprezentanţilor comunităţii epistemice, asociaţiilor  profesionale şi angajatori reprezentativi din domeniul aferent programului</w:t>
      </w:r>
      <w:r>
        <w:rPr>
          <w:rFonts w:ascii="Gentium" w:hAnsi="Gentium"/>
          <w:b/>
          <w:bCs/>
        </w:rPr>
      </w:r>
      <w:r>
        <w:rPr>
          <w:rFonts w:ascii="Gentium" w:hAnsi="Gentium"/>
          <w:b/>
          <w:bCs/>
        </w:rPr>
      </w:r>
    </w:p>
    <w:p>
      <w:pPr>
        <w:pBdr/>
        <w:spacing/>
        <w:ind/>
        <w:rPr>
          <w:rFonts w:ascii="Gentium" w:hAnsi="Gentium"/>
          <w:b/>
          <w:bCs/>
          <w:sz w:val="24"/>
          <w:szCs w:val="24"/>
        </w:rPr>
      </w:pPr>
      <w:r>
        <w:rPr>
          <w:rFonts w:ascii="Gentium" w:hAnsi="Gentium"/>
          <w:b/>
          <w:bCs/>
          <w:sz w:val="24"/>
          <w:szCs w:val="24"/>
        </w:rPr>
      </w:r>
      <w:r>
        <w:rPr>
          <w:rFonts w:ascii="Gentium" w:hAnsi="Gentium"/>
          <w:b/>
          <w:bCs/>
          <w:sz w:val="24"/>
          <w:szCs w:val="24"/>
        </w:rPr>
      </w:r>
      <w:r>
        <w:rPr>
          <w:rFonts w:ascii="Gentium" w:hAnsi="Gentium"/>
          <w:b/>
          <w:bCs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029"/>
      </w:tblGrid>
      <w:tr>
        <w:trPr/>
        <w:tc>
          <w:tcPr>
            <w:tcBorders/>
            <w:tcW w:w="10029" w:type="dxa"/>
            <w:textDirection w:val="lrTb"/>
            <w:noWrap w:val="false"/>
          </w:tcPr>
          <w:p>
            <w:pPr>
              <w:numPr>
                <w:ilvl w:val="0"/>
                <w:numId w:val="13"/>
              </w:numPr>
              <w:pBdr/>
              <w:spacing/>
              <w:ind w:left="0"/>
              <w:rPr>
                <w:rFonts w:ascii="Gentium" w:hAnsi="Gentium"/>
                <w:sz w:val="24"/>
                <w:szCs w:val="24"/>
              </w:rPr>
            </w:pPr>
            <w:r>
              <w:rPr>
                <w:rFonts w:ascii="Gentium" w:hAnsi="Gentium"/>
                <w:lang w:val="en-US"/>
              </w:rPr>
              <w:t xml:space="preserve">Lucrările</w:t>
            </w:r>
            <w:r>
              <w:rPr>
                <w:rFonts w:ascii="Gentium" w:hAnsi="Gentium"/>
                <w:lang w:val="en-US"/>
              </w:rPr>
              <w:t xml:space="preserve"> de tip </w:t>
            </w:r>
            <w:r>
              <w:rPr>
                <w:rFonts w:ascii="Gentium" w:hAnsi="Gentium"/>
                <w:lang w:val="en-US"/>
              </w:rPr>
              <w:t xml:space="preserve">eseu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ştiinţific</w:t>
            </w:r>
            <w:r>
              <w:rPr>
                <w:rFonts w:ascii="Gentium" w:hAnsi="Gentium"/>
                <w:lang w:val="en-US"/>
              </w:rPr>
              <w:t xml:space="preserve">, s</w:t>
            </w:r>
            <w:r>
              <w:rPr>
                <w:rFonts w:ascii="Gentium" w:hAnsi="Gentium"/>
              </w:rPr>
              <w:t xml:space="preserve">tudiile de caz şi </w:t>
            </w:r>
            <w:r>
              <w:rPr>
                <w:rFonts w:ascii="Gentium" w:hAnsi="Gentium"/>
                <w:lang w:val="en-US"/>
              </w:rPr>
              <w:t xml:space="preserve">ale </w:t>
            </w:r>
            <w:r>
              <w:rPr>
                <w:rFonts w:ascii="Gentium" w:hAnsi="Gentium"/>
              </w:rPr>
              <w:t xml:space="preserve">lucrările practice se efectuează conform </w:t>
            </w:r>
            <w:r>
              <w:rPr>
                <w:rFonts w:ascii="Gentium" w:hAnsi="Gentium"/>
                <w:lang w:val="en-US"/>
              </w:rPr>
              <w:t xml:space="preserve">metodologiei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proprii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ştiinţelor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teologice</w:t>
            </w:r>
            <w:r>
              <w:rPr>
                <w:rFonts w:ascii="Gentium" w:hAnsi="Gentium"/>
                <w:lang w:val="en-US"/>
              </w:rPr>
              <w:t xml:space="preserve">, </w:t>
            </w:r>
            <w:r>
              <w:rPr>
                <w:rFonts w:ascii="Gentium" w:hAnsi="Gentium"/>
                <w:lang w:val="en-US"/>
              </w:rPr>
              <w:t xml:space="preserve">filozofice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şi</w:t>
            </w:r>
            <w:r>
              <w:rPr>
                <w:rFonts w:ascii="Gentium" w:hAnsi="Gentium"/>
                <w:lang w:val="en-US"/>
              </w:rPr>
              <w:t xml:space="preserve"> social – </w:t>
            </w:r>
            <w:r>
              <w:rPr>
                <w:rFonts w:ascii="Gentium" w:hAnsi="Gentium"/>
                <w:lang w:val="en-US"/>
              </w:rPr>
              <w:t xml:space="preserve">istorice</w:t>
            </w:r>
            <w:r>
              <w:rPr>
                <w:rFonts w:ascii="Gentium" w:hAnsi="Gentium"/>
                <w:lang w:val="en-US"/>
              </w:rPr>
              <w:t xml:space="preserve">.</w:t>
            </w:r>
            <w:r>
              <w:rPr>
                <w:rFonts w:ascii="Gentium" w:hAnsi="Gentium"/>
                <w:sz w:val="24"/>
                <w:szCs w:val="24"/>
              </w:rPr>
            </w:r>
            <w:r>
              <w:rPr>
                <w:rFonts w:ascii="Gentium" w:hAnsi="Gentium"/>
                <w:sz w:val="24"/>
                <w:szCs w:val="24"/>
              </w:rPr>
            </w:r>
          </w:p>
        </w:tc>
      </w:tr>
    </w:tbl>
    <w:p>
      <w:pPr>
        <w:pBdr/>
        <w:spacing/>
        <w:ind/>
        <w:jc w:val="center"/>
        <w:rPr>
          <w:rFonts w:ascii="Gentium" w:hAnsi="Gentium"/>
          <w:sz w:val="16"/>
          <w:szCs w:val="16"/>
        </w:rPr>
      </w:pP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  <w:r>
        <w:rPr>
          <w:rFonts w:ascii="Gentium" w:hAnsi="Gentium"/>
          <w:sz w:val="16"/>
          <w:szCs w:val="16"/>
        </w:rPr>
      </w:r>
    </w:p>
    <w:p>
      <w:pPr>
        <w:pBdr/>
        <w:tabs>
          <w:tab w:val="center" w:leader="none" w:pos="4873"/>
        </w:tabs>
        <w:spacing/>
        <w:ind/>
        <w:rPr>
          <w:rFonts w:ascii="Gentium" w:hAnsi="Gentium"/>
          <w:b/>
        </w:rPr>
      </w:pPr>
      <w:r>
        <w:rPr>
          <w:rFonts w:ascii="Gentium" w:hAnsi="Gentium"/>
          <w:b/>
        </w:rPr>
        <w:t xml:space="preserve">11. Evaluare</w:t>
      </w:r>
      <w:r>
        <w:rPr>
          <w:rFonts w:ascii="Gentium" w:hAnsi="Gentium"/>
          <w:b/>
        </w:rPr>
        <w:tab/>
      </w:r>
      <w:r>
        <w:rPr>
          <w:rFonts w:ascii="Gentium" w:hAnsi="Gentium"/>
          <w:b/>
        </w:rPr>
      </w:r>
      <w:r>
        <w:rPr>
          <w:rFonts w:ascii="Gentium" w:hAnsi="Gentium"/>
          <w:b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553"/>
        <w:gridCol w:w="2233"/>
        <w:gridCol w:w="3686"/>
        <w:gridCol w:w="1490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Tip activitate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Bdr/>
              <w:spacing/>
              <w:ind w:right="-154" w:left="46"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11.1 Tip de evaluare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11.2 Metode de evaluare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11.3 Pondere din nota finală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>
          <w:trHeight w:val="1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11.4 Curs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Evaluare finală </w:t>
            </w: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Examen practic și/sau oral </w:t>
            </w: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60%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>
          <w:trHeight w:val="5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Verificarea calităţii lucrărilor practice realizate pe parcursul semestrului</w:t>
            </w: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  <w:lang w:val="en-US"/>
              </w:rPr>
              <w:t xml:space="preserve">20</w:t>
            </w:r>
            <w:r>
              <w:rPr>
                <w:rFonts w:ascii="Gentium" w:hAnsi="Gentium"/>
              </w:rPr>
              <w:t xml:space="preserve">%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>
          <w:trHeight w:val="1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11.5 Seminar/laborator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Evaluare pe parcurs</w:t>
            </w: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</w:p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  <w:i/>
              </w:rPr>
            </w:pPr>
            <w:r>
              <w:rPr>
                <w:rFonts w:ascii="Gentium" w:hAnsi="Gentium"/>
                <w:i/>
              </w:rPr>
              <w:t xml:space="preserve">Verificarea prezenţei şi a implicării în activităţile de seminar semestriale</w:t>
            </w:r>
            <w:r>
              <w:rPr>
                <w:rFonts w:ascii="Gentium" w:hAnsi="Gentium"/>
                <w:i/>
              </w:rPr>
            </w:r>
            <w:r>
              <w:rPr>
                <w:rFonts w:ascii="Gentium" w:hAnsi="Gentium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  <w:lang w:val="en-US"/>
              </w:rPr>
              <w:t xml:space="preserve">2</w:t>
            </w:r>
            <w:r>
              <w:rPr>
                <w:rFonts w:ascii="Gentium" w:hAnsi="Gentium"/>
              </w:rPr>
              <w:t xml:space="preserve">0%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Gentium" w:hAnsi="Gentium"/>
              </w:rPr>
            </w:pPr>
            <w:r>
              <w:rPr>
                <w:rFonts w:ascii="Gentium" w:hAnsi="Gentium"/>
              </w:rPr>
              <w:t xml:space="preserve">11.6 Standard minim de performanţă:</w:t>
            </w:r>
            <w:r>
              <w:rPr>
                <w:rFonts w:ascii="Gentium" w:hAnsi="Gentium"/>
              </w:rPr>
              <w:t xml:space="preserve"> Cunoașterea definițiilor pentru cultură, a principalelor teorii despre comunicare, și </w:t>
            </w:r>
            <w:r>
              <w:rPr>
                <w:rFonts w:ascii="Gentium" w:hAnsi="Gentium"/>
                <w:lang w:val="en-US"/>
              </w:rPr>
              <w:t xml:space="preserve">a </w:t>
            </w:r>
            <w:r>
              <w:rPr>
                <w:rFonts w:ascii="Gentium" w:hAnsi="Gentium"/>
                <w:lang w:val="en-US"/>
              </w:rPr>
              <w:t xml:space="preserve">teoriilor</w:t>
            </w:r>
            <w:r>
              <w:rPr>
                <w:rFonts w:ascii="Gentium" w:hAnsi="Gentium"/>
                <w:lang w:val="en-US"/>
              </w:rPr>
              <w:t xml:space="preserve"> de </w:t>
            </w:r>
            <w:r>
              <w:rPr>
                <w:rFonts w:ascii="Gentium" w:hAnsi="Gentium"/>
                <w:lang w:val="en-US"/>
              </w:rPr>
              <w:t xml:space="preserve">identitate</w:t>
            </w:r>
            <w:r>
              <w:rPr>
                <w:rFonts w:ascii="Gentium" w:hAnsi="Gentium"/>
                <w:lang w:val="en-US"/>
              </w:rPr>
              <w:t xml:space="preserve">, </w:t>
            </w:r>
            <w:r>
              <w:rPr>
                <w:rFonts w:ascii="Gentium" w:hAnsi="Gentium"/>
                <w:lang w:val="en-US"/>
              </w:rPr>
              <w:t xml:space="preserve">structură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și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dinamică</w:t>
            </w:r>
            <w:r>
              <w:rPr>
                <w:rFonts w:ascii="Gentium" w:hAnsi="Gentium"/>
                <w:lang w:val="en-US"/>
              </w:rPr>
              <w:t xml:space="preserve"> </w:t>
            </w:r>
            <w:r>
              <w:rPr>
                <w:rFonts w:ascii="Gentium" w:hAnsi="Gentium"/>
                <w:lang w:val="en-US"/>
              </w:rPr>
              <w:t xml:space="preserve">comunitară</w:t>
            </w:r>
            <w:r>
              <w:rPr>
                <w:rFonts w:ascii="Gentium" w:hAnsi="Gentium"/>
                <w:lang w:val="en-US"/>
              </w:rPr>
              <w:t xml:space="preserve">.</w:t>
            </w:r>
            <w:r>
              <w:rPr>
                <w:rFonts w:ascii="Gentium" w:hAnsi="Gentium"/>
              </w:rPr>
            </w:r>
            <w:r>
              <w:rPr>
                <w:rFonts w:ascii="Gentium" w:hAnsi="Gentium"/>
              </w:rPr>
            </w:r>
          </w:p>
        </w:tc>
      </w:tr>
    </w:tbl>
    <w:p>
      <w:pPr>
        <w:pBdr/>
        <w:spacing/>
        <w:ind/>
        <w:jc w:val="center"/>
        <w:rPr>
          <w:rFonts w:ascii="Gentium" w:hAnsi="Gentium"/>
          <w:sz w:val="12"/>
          <w:szCs w:val="16"/>
        </w:rPr>
      </w:pPr>
      <w:r>
        <w:rPr>
          <w:rFonts w:ascii="Gentium" w:hAnsi="Gentium"/>
          <w:sz w:val="12"/>
          <w:szCs w:val="16"/>
        </w:rPr>
      </w:r>
      <w:r>
        <w:rPr>
          <w:rFonts w:ascii="Gentium" w:hAnsi="Gentium"/>
          <w:sz w:val="12"/>
          <w:szCs w:val="16"/>
        </w:rPr>
      </w:r>
      <w:r>
        <w:rPr>
          <w:rFonts w:ascii="Gentium" w:hAnsi="Gentium"/>
          <w:sz w:val="12"/>
          <w:szCs w:val="16"/>
        </w:rPr>
      </w:r>
    </w:p>
    <w:p>
      <w:pPr>
        <w:pBdr/>
        <w:tabs>
          <w:tab w:val="center" w:leader="none" w:pos="4873"/>
        </w:tabs>
        <w:spacing/>
        <w:ind/>
        <w:rPr>
          <w:rFonts w:ascii="Gentium" w:hAnsi="Gentium"/>
        </w:rPr>
      </w:pPr>
      <w:r>
        <w:rPr>
          <w:rFonts w:ascii="Gentium" w:hAnsi="Gentium"/>
        </w:rPr>
        <w:t xml:space="preserve">          </w:t>
      </w:r>
      <w:r>
        <w:rPr>
          <w:rFonts w:ascii="Gentium" w:hAnsi="Gentium"/>
          <w:lang w:val="en-US"/>
        </w:rPr>
        <w:t xml:space="preserve">  </w:t>
      </w:r>
      <w:r>
        <w:rPr>
          <w:rFonts w:ascii="Gentium" w:hAnsi="Gentium"/>
        </w:rPr>
      </w:r>
      <w:r>
        <w:rPr>
          <w:rFonts w:ascii="Gentium" w:hAnsi="Gentium"/>
        </w:rPr>
      </w:r>
    </w:p>
    <w:p>
      <w:pPr>
        <w:pBdr/>
        <w:spacing/>
        <w:ind/>
        <w:rPr>
          <w:rFonts w:ascii="Gentium" w:hAnsi="Gentium"/>
          <w:highlight w:val="none"/>
        </w:rPr>
      </w:pPr>
      <w:r>
        <w:rPr>
          <w:rFonts w:ascii="Gentium" w:hAnsi="Gentium"/>
          <w:lang w:val="en-US"/>
        </w:rPr>
        <w:t xml:space="preserve">     </w:t>
      </w:r>
      <w:r>
        <w:rPr>
          <w:rFonts w:ascii="Gentium" w:hAnsi="Gentium"/>
        </w:rPr>
        <w:t xml:space="preserve">  </w:t>
      </w:r>
      <w:r>
        <w:rPr>
          <w:rFonts w:ascii="Gentium" w:hAnsi="Gentium"/>
          <w:lang w:val="en-US"/>
        </w:rPr>
        <w:t xml:space="preserve">  </w:t>
      </w:r>
      <w:r>
        <w:rPr>
          <w:rFonts w:ascii="Gentium" w:hAnsi="Gentium"/>
        </w:rPr>
        <w:t xml:space="preserve">Data completării</w:t>
      </w:r>
      <w:r>
        <w:rPr>
          <w:rFonts w:ascii="Gentium" w:hAnsi="Gentium"/>
        </w:rPr>
        <w:tab/>
        <w:t xml:space="preserve">                                      Semnătura titularului de curs</w:t>
      </w:r>
      <w:r>
        <w:rPr>
          <w:rFonts w:ascii="Gentium" w:hAnsi="Gentium"/>
          <w:highlight w:val="none"/>
        </w:rPr>
      </w:r>
      <w:r>
        <w:rPr>
          <w:rFonts w:ascii="Gentium" w:hAnsi="Gentium"/>
          <w:highlight w:val="none"/>
        </w:rPr>
      </w:r>
    </w:p>
    <w:p>
      <w:pPr>
        <w:pBdr/>
        <w:spacing/>
        <w:ind/>
        <w:rPr>
          <w:rFonts w:ascii="Gentium" w:hAnsi="Gentium"/>
        </w:rPr>
      </w:pPr>
      <w:r>
        <w:rPr>
          <w:rFonts w:ascii="Gentium" w:hAnsi="Gentium"/>
          <w:highlight w:val="none"/>
        </w:rPr>
        <w:t xml:space="preserve">         18.11.2024                                                                            </w:t>
      </w:r>
      <w:r>
        <w:rPr>
          <w:rFonts w:ascii="Gentium" w:hAnsi="Gentium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10895" cy="167005"/>
                <wp:effectExtent l="4762" t="4762" r="4762" b="4762"/>
                <wp:docPr id="4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902488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10893" cy="1670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63.85pt;height:13.15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Gentium" w:hAnsi="Gentium"/>
          <w:highlight w:val="none"/>
        </w:rPr>
        <w:t xml:space="preserve">         </w:t>
      </w:r>
      <w:r>
        <w:rPr>
          <w:rFonts w:ascii="Gentium" w:hAnsi="Gentium"/>
        </w:rPr>
      </w:r>
      <w:r>
        <w:rPr>
          <w:rFonts w:ascii="Gentium" w:hAnsi="Gentium"/>
        </w:rPr>
      </w:r>
    </w:p>
    <w:p>
      <w:pPr>
        <w:pBdr/>
        <w:spacing/>
        <w:ind/>
        <w:rPr>
          <w:rFonts w:ascii="Gentium" w:hAnsi="Gentium"/>
        </w:rPr>
      </w:pPr>
      <w:r>
        <w:rPr>
          <w:rFonts w:ascii="Gentium" w:hAnsi="Gentium"/>
        </w:rPr>
        <w:t xml:space="preserve">           </w:t>
      </w:r>
      <w:r>
        <w:rPr>
          <w:rFonts w:ascii="Gentium" w:hAnsi="Gentium"/>
        </w:rPr>
        <w:t xml:space="preserve">                                                                            Semnătura titularului de seminar</w:t>
      </w:r>
      <w:r>
        <w:rPr>
          <w:rFonts w:ascii="Gentium" w:hAnsi="Gentium"/>
        </w:rPr>
      </w:r>
      <w:r>
        <w:rPr>
          <w:rFonts w:ascii="Gentium" w:hAnsi="Gentium"/>
        </w:rPr>
      </w:r>
    </w:p>
    <w:p>
      <w:pPr>
        <w:pBdr/>
        <w:spacing/>
        <w:ind/>
        <w:rPr>
          <w:rFonts w:ascii="Gentium" w:hAnsi="Gentium"/>
          <w:highlight w:val="none"/>
        </w:rPr>
      </w:pPr>
      <w:r>
        <w:rPr>
          <w:rFonts w:ascii="Gentium" w:hAnsi="Gentium"/>
        </w:rPr>
        <w:t xml:space="preserve">                                                                                                        </w:t>
      </w:r>
      <w:r>
        <w:rPr>
          <w:rFonts w:ascii="Gentium" w:hAnsi="Gentium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10895" cy="167005"/>
                <wp:effectExtent l="0" t="0" r="0" b="0"/>
                <wp:docPr id="5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247527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10894" cy="1670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63.85pt;height:13.15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Gentium" w:hAnsi="Gentium"/>
          <w:highlight w:val="none"/>
        </w:rPr>
      </w:r>
      <w:r>
        <w:rPr>
          <w:rFonts w:ascii="Gentium" w:hAnsi="Gentium"/>
          <w:highlight w:val="none"/>
        </w:rPr>
      </w:r>
    </w:p>
    <w:p>
      <w:pPr>
        <w:pBdr/>
        <w:spacing/>
        <w:ind/>
        <w:rPr>
          <w:rFonts w:ascii="Gentium" w:hAnsi="Gentium"/>
        </w:rPr>
      </w:pPr>
      <w:r>
        <w:rPr>
          <w:rFonts w:ascii="Gentium" w:hAnsi="Gentium"/>
        </w:rPr>
        <w:t xml:space="preserve">        Data avizării în departament</w:t>
      </w:r>
      <w:r>
        <w:rPr>
          <w:rFonts w:ascii="Gentium" w:hAnsi="Gentium"/>
        </w:rPr>
        <w:tab/>
      </w:r>
      <w:r>
        <w:rPr>
          <w:rFonts w:ascii="Gentium" w:hAnsi="Gentium"/>
        </w:rPr>
        <w:tab/>
        <w:t xml:space="preserve">         Semnătura directorului de departament</w:t>
      </w:r>
      <w:r>
        <w:rPr>
          <w:rFonts w:ascii="Gentium" w:hAnsi="Gentium"/>
        </w:rPr>
        <w:tab/>
      </w:r>
      <w:r>
        <w:rPr>
          <w:rFonts w:ascii="Gentium" w:hAnsi="Gentium"/>
        </w:rPr>
      </w:r>
      <w:r>
        <w:rPr>
          <w:rFonts w:ascii="Gentium" w:hAnsi="Gentium"/>
        </w:rPr>
      </w:r>
    </w:p>
    <w:p>
      <w:pPr>
        <w:pBdr/>
        <w:spacing/>
        <w:ind/>
        <w:rPr>
          <w:rFonts w:ascii="Gentium" w:hAnsi="Gentium"/>
        </w:rPr>
      </w:pPr>
      <w:r>
        <w:rPr>
          <w:rFonts w:ascii="Gentium" w:hAnsi="Gentium"/>
        </w:rPr>
        <w:t xml:space="preserve">        20.11.2024                                                                           </w:t>
      </w:r>
      <w:r>
        <w:rPr>
          <w:rFonts w:ascii="Gentium" w:hAnsi="Gentium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10895" cy="167005"/>
                <wp:effectExtent l="19050" t="0" r="8255" b="0"/>
                <wp:docPr id="6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810895" cy="167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63.85pt;height:13.15pt;mso-wrap-distance-left:0.00pt;mso-wrap-distance-top:0.00pt;mso-wrap-distance-right:0.00pt;mso-wrap-distance-bottom:0.00pt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Gentium" w:hAnsi="Gentium"/>
        </w:rPr>
      </w:r>
      <w:r>
        <w:rPr>
          <w:rFonts w:ascii="Gentium" w:hAnsi="Gentium"/>
        </w:rPr>
      </w:r>
    </w:p>
    <w:p>
      <w:pPr>
        <w:pBdr/>
        <w:spacing/>
        <w:ind/>
        <w:rPr>
          <w:rFonts w:ascii="Gentium" w:hAnsi="Gentium"/>
        </w:rPr>
      </w:pPr>
      <w:r>
        <w:rPr>
          <w:rFonts w:ascii="Gentium" w:hAnsi="Gentium"/>
        </w:rPr>
        <w:t xml:space="preserve">        </w:t>
      </w:r>
      <w:r>
        <w:rPr>
          <w:rFonts w:ascii="Gentium" w:hAnsi="Gentium"/>
        </w:rPr>
      </w:r>
      <w:r>
        <w:rPr>
          <w:rFonts w:ascii="Gentium" w:hAnsi="Gentium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continuous"/>
      <w:pgSz w:h="16840" w:orient="portrait" w:w="11907"/>
      <w:pgMar w:top="567" w:right="567" w:bottom="180" w:left="1418" w:header="567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-Italic-Bold">
    <w:panose1 w:val="020B0604020202020204"/>
  </w:font>
  <w:font w:name="Arial-Italic-Bold">
    <w:panose1 w:val="020B0604020202020204"/>
  </w:font>
  <w:font w:name="Albertus Medium">
    <w:panose1 w:val="020E0602030304020304"/>
  </w:font>
  <w:font w:name="Gentium">
    <w:panose1 w:val="020005030600000200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8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8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8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 w:left="851"/>
      <w:rPr>
        <w:rFonts w:ascii="Arial" w:hAnsi="Arial" w:cs="Arial"/>
        <w:b/>
        <w:bCs/>
        <w:color w:val="000041"/>
        <w:sz w:val="30"/>
        <w:szCs w:val="30"/>
      </w:rPr>
    </w:pPr>
    <w:r>
      <w:rPr>
        <w:b/>
        <w:bCs/>
        <w:color w:val="000041"/>
        <w:sz w:val="30"/>
        <w:szCs w:val="30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02790656" behindDoc="0" locked="0" layoutInCell="1" allowOverlap="1">
              <wp:simplePos x="0" y="0"/>
              <wp:positionH relativeFrom="column">
                <wp:posOffset>-477519</wp:posOffset>
              </wp:positionH>
              <wp:positionV relativeFrom="paragraph">
                <wp:posOffset>-3809</wp:posOffset>
              </wp:positionV>
              <wp:extent cx="918845" cy="914400"/>
              <wp:effectExtent l="0" t="0" r="0" b="0"/>
              <wp:wrapNone/>
              <wp:docPr id="1" name="_x0000_i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18845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502790656;o:allowoverlap:true;o:allowincell:true;mso-position-horizontal-relative:text;margin-left:-37.60pt;mso-position-horizontal:absolute;mso-position-vertical-relative:text;margin-top:-0.30pt;mso-position-vertical:absolute;width:72.35pt;height:72.00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 w:cs="Arial"/>
        <w:b/>
        <w:bCs/>
        <w:color w:val="000041"/>
        <w:sz w:val="30"/>
        <w:szCs w:val="30"/>
      </w:rPr>
      <w:t xml:space="preserve">INSTITUTUL TEOLOGIC BAPTIST DIN BUCUREŞTI</w:t>
    </w:r>
    <w:r>
      <w:rPr>
        <w:rFonts w:ascii="Arial" w:hAnsi="Arial" w:cs="Arial"/>
        <w:b/>
        <w:bCs/>
        <w:color w:val="000041"/>
        <w:sz w:val="30"/>
        <w:szCs w:val="30"/>
      </w:rPr>
    </w:r>
    <w:r>
      <w:rPr>
        <w:rFonts w:ascii="Arial" w:hAnsi="Arial" w:cs="Arial"/>
        <w:b/>
        <w:bCs/>
        <w:color w:val="000041"/>
        <w:sz w:val="30"/>
        <w:szCs w:val="30"/>
      </w:rPr>
    </w:r>
  </w:p>
  <w:p>
    <w:pPr>
      <w:pBdr/>
      <w:spacing/>
      <w:ind w:left="851"/>
      <w:rPr>
        <w:rFonts w:ascii="Arial" w:hAnsi="Arial" w:cs="Arial"/>
        <w:b/>
        <w:iCs/>
        <w:color w:val="000041"/>
        <w:sz w:val="24"/>
        <w:szCs w:val="24"/>
      </w:rPr>
    </w:pPr>
    <w:r>
      <w:rPr>
        <w:rFonts w:ascii="Arial" w:hAnsi="Arial" w:cs="Arial"/>
        <w:b/>
        <w:iCs/>
        <w:color w:val="000041"/>
      </w:rPr>
      <w:t xml:space="preserve">Facultatea de Teologie Baptistă – Departamentul de Teologie Baptistă Pastorală</w:t>
    </w:r>
    <w:r>
      <w:rPr>
        <w:rFonts w:ascii="Arial" w:hAnsi="Arial" w:cs="Arial"/>
        <w:b/>
        <w:iCs/>
        <w:color w:val="000041"/>
        <w:sz w:val="24"/>
        <w:szCs w:val="24"/>
      </w:rPr>
    </w:r>
    <w:r>
      <w:rPr>
        <w:rFonts w:ascii="Arial" w:hAnsi="Arial" w:cs="Arial"/>
        <w:b/>
        <w:iCs/>
        <w:color w:val="000041"/>
        <w:sz w:val="24"/>
        <w:szCs w:val="24"/>
      </w:rPr>
    </w:r>
  </w:p>
  <w:p>
    <w:pPr>
      <w:pBdr/>
      <w:spacing w:before="60"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Str. Berzei, nr.29, sector 1, 010251, Bucureşti; Cod fiscal: 4528379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RO52 RZBR 0000 0600 1034 5768; SWIFT: RZBR ROBU,  Raiffeisen Bank, Suc. Stirbei Vodă, Sect.1, Bucuresti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  <w:lang w:val="en-GB"/>
      </w:rPr>
    </w:pPr>
    <w:r>
      <w:rPr>
        <w:rFonts w:ascii="Arial" w:hAnsi="Arial" w:cs="Arial"/>
        <w:color w:val="000041"/>
        <w:sz w:val="18"/>
        <w:szCs w:val="18"/>
      </w:rPr>
      <w:t xml:space="preserve">Tel. 021-3159108,  Fax 021-3181593,  E-mail: </w:t>
    </w:r>
    <w:hyperlink r:id="rId2" w:tooltip="mailto:office@itb.ro" w:history="1">
      <w:r>
        <w:rPr>
          <w:rStyle w:val="1063"/>
          <w:rFonts w:ascii="Arial" w:hAnsi="Arial" w:cs="Arial"/>
          <w:color w:val="000041"/>
          <w:sz w:val="18"/>
          <w:szCs w:val="18"/>
          <w:u w:val="none"/>
        </w:rPr>
        <w:t xml:space="preserve">office@itb.ro</w:t>
      </w:r>
    </w:hyperlink>
    <w:r>
      <w:rPr>
        <w:rFonts w:ascii="Arial" w:hAnsi="Arial" w:cs="Arial"/>
        <w:color w:val="000041"/>
        <w:sz w:val="18"/>
        <w:szCs w:val="18"/>
      </w:rPr>
      <w:t xml:space="preserve">,  www.itb.ro  </w:t>
    </w:r>
    <w:r>
      <w:rPr>
        <w:rFonts w:ascii="Arial" w:hAnsi="Arial" w:cs="Arial"/>
        <w:color w:val="000041"/>
        <w:sz w:val="18"/>
        <w:szCs w:val="18"/>
        <w:lang w:val="en-GB"/>
      </w:rPr>
    </w:r>
    <w:r>
      <w:rPr>
        <w:rFonts w:ascii="Arial" w:hAnsi="Arial" w:cs="Arial"/>
        <w:color w:val="000041"/>
        <w:sz w:val="18"/>
        <w:szCs w:val="18"/>
        <w:lang w:val="en-GB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02791680" behindDoc="0" locked="0" layoutInCell="1" allowOverlap="1">
              <wp:simplePos x="0" y="0"/>
              <wp:positionH relativeFrom="column">
                <wp:posOffset>-342899</wp:posOffset>
              </wp:positionH>
              <wp:positionV relativeFrom="paragraph">
                <wp:posOffset>72390</wp:posOffset>
              </wp:positionV>
              <wp:extent cx="685800" cy="228600"/>
              <wp:effectExtent l="0" t="0" r="0" b="0"/>
              <wp:wrapNone/>
              <wp:docPr id="2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85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  <w:t xml:space="preserve">fondat 1921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</w:p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sz w:val="22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502791680;o:allowoverlap:true;o:allowincell:true;mso-position-horizontal-relative:text;margin-left:-27.00pt;mso-position-horizontal:absolute;mso-position-vertical-relative:text;margin-top:5.70pt;mso-position-vertical:absolute;width:54.00pt;height:18.00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Bdr/>
                      <w:spacing/>
                      <w:ind/>
                      <w:jc w:val="center"/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  <w:t xml:space="preserve">fondat 1921</w:t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</w:p>
                  <w:p>
                    <w:pPr>
                      <w:pBdr/>
                      <w:spacing/>
                      <w:ind/>
                      <w:jc w:val="center"/>
                      <w:rPr>
                        <w:sz w:val="22"/>
                        <w:szCs w:val="24"/>
                        <w:lang w:val="en-GB"/>
                      </w:rPr>
                    </w:pP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olor w:val="000041"/>
        <w:sz w:val="18"/>
        <w:szCs w:val="18"/>
      </w:rPr>
      <w:t xml:space="preserve">Acreditat prin Legea nr. 139 şi Decretul 421, publicate în M.O. partea I, nr. 434/23.05.2005        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Style w:val="1066"/>
      <w:pBdr/>
      <w:spacing/>
      <w:ind/>
      <w:rPr/>
    </w:pPr>
    <w:r>
      <w:rPr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<wp:simplePos x="0" y="0"/>
              <wp:positionH relativeFrom="column">
                <wp:posOffset>532130</wp:posOffset>
              </wp:positionH>
              <wp:positionV relativeFrom="paragraph">
                <wp:posOffset>54610</wp:posOffset>
              </wp:positionV>
              <wp:extent cx="5760720" cy="0"/>
              <wp:effectExtent l="0" t="0" r="0" b="0"/>
              <wp:wrapNone/>
              <wp:docPr id="3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41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id="shape 2" o:spid="_x0000_s2" style="position:absolute;left:0;text-align:left;z-index:251658752;mso-wrap-distance-left:9.00pt;mso-wrap-distance-top:0.00pt;mso-wrap-distance-right:9.00pt;mso-wrap-distance-bottom:0.00pt;visibility:visible;" from="41.9pt,4.3pt" to="495.5pt,4.3pt" fillcolor="#FFFFFF" strokecolor="#000041" strokeweight="1.50pt"/>
          </w:pict>
        </mc:Fallback>
      </mc:AlternateContent>
    </w:r>
    <w:r/>
  </w:p>
  <w:p>
    <w:pPr>
      <w:pStyle w:val="1066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6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6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upp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14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0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5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7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9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1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3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5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7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9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10"/>
      </w:pPr>
      <w:rPr/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tabs>
          <w:tab w:val="left" w:leader="none" w:pos="641"/>
        </w:tabs>
        <w:spacing/>
        <w:ind w:hanging="357" w:left="641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left" w:leader="none" w:pos="1440"/>
        </w:tabs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left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left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left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left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left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left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left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  <w:i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Calibri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tabs>
          <w:tab w:val="left" w:leader="none" w:pos="360"/>
        </w:tabs>
        <w:spacing/>
        <w:ind w:hanging="360" w:left="360"/>
      </w:pPr>
      <w:rPr>
        <w:rFonts w:hint="default"/>
        <w:b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360"/>
      </w:pPr>
      <w:rPr>
        <w:rFonts w:hint="default"/>
      </w:rPr>
      <w:start w:val="2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12"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"/>
  </w:num>
  <w:num w:numId="5">
    <w:abstractNumId w:val="10"/>
  </w:num>
  <w:num w:numId="6">
    <w:abstractNumId w:val="2"/>
  </w:num>
  <w:num w:numId="7">
    <w:abstractNumId w:val="2"/>
  </w:num>
  <w:num w:numId="8">
    <w:abstractNumId w:val="8"/>
  </w:num>
  <w:num w:numId="9">
    <w:abstractNumId w:val="12"/>
  </w:num>
  <w:num w:numId="10">
    <w:abstractNumId w:val="11"/>
  </w:num>
  <w:num w:numId="11">
    <w:abstractNumId w:val="7"/>
  </w:num>
  <w:num w:numId="12">
    <w:abstractNumId w:val="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32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79" w:default="1">
    <w:name w:val="Normal"/>
    <w:qFormat/>
    <w:pPr>
      <w:pBdr/>
      <w:spacing/>
      <w:ind/>
    </w:pPr>
    <w:rPr>
      <w:rFonts w:ascii="Times New Roman" w:hAnsi="Times New Roman" w:eastAsia="Times New Roman"/>
      <w:lang w:val="ro-RO"/>
    </w:rPr>
  </w:style>
  <w:style w:type="paragraph" w:styleId="880">
    <w:name w:val="Heading 1"/>
    <w:basedOn w:val="879"/>
    <w:next w:val="879"/>
    <w:link w:val="1065"/>
    <w:uiPriority w:val="9"/>
    <w:qFormat/>
    <w:pPr>
      <w:keepNext w:val="true"/>
      <w:keepLines w:val="true"/>
      <w:pBdr/>
      <w:spacing w:before="480"/>
      <w:ind/>
      <w:jc w:val="both"/>
      <w:outlineLvl w:val="0"/>
    </w:pPr>
    <w:rPr>
      <w:rFonts w:ascii="Calibri" w:hAnsi="Calibri"/>
      <w:b/>
      <w:bCs/>
      <w:color w:val="000000"/>
      <w:sz w:val="28"/>
      <w:szCs w:val="28"/>
    </w:rPr>
  </w:style>
  <w:style w:type="paragraph" w:styleId="881">
    <w:name w:val="Heading 2"/>
    <w:basedOn w:val="879"/>
    <w:next w:val="879"/>
    <w:link w:val="900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882">
    <w:name w:val="Heading 3"/>
    <w:basedOn w:val="879"/>
    <w:next w:val="879"/>
    <w:link w:val="901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883">
    <w:name w:val="Heading 4"/>
    <w:basedOn w:val="879"/>
    <w:next w:val="879"/>
    <w:link w:val="902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84">
    <w:name w:val="Heading 5"/>
    <w:basedOn w:val="879"/>
    <w:next w:val="879"/>
    <w:link w:val="903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85">
    <w:name w:val="Heading 6"/>
    <w:basedOn w:val="879"/>
    <w:next w:val="879"/>
    <w:link w:val="90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86">
    <w:name w:val="Heading 7"/>
    <w:basedOn w:val="879"/>
    <w:next w:val="879"/>
    <w:link w:val="905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87">
    <w:name w:val="Heading 8"/>
    <w:basedOn w:val="879"/>
    <w:next w:val="879"/>
    <w:link w:val="906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88">
    <w:name w:val="Heading 9"/>
    <w:basedOn w:val="879"/>
    <w:next w:val="879"/>
    <w:link w:val="907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  <w:style w:type="character" w:styleId="892">
    <w:name w:val="Intense Emphasis"/>
    <w:basedOn w:val="889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character" w:styleId="893">
    <w:name w:val="Intense Reference"/>
    <w:basedOn w:val="889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character" w:styleId="894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95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896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897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8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9">
    <w:name w:val="FollowedHyperlink"/>
    <w:basedOn w:val="889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character" w:styleId="900" w:customStyle="1">
    <w:name w:val="Heading 2 Char"/>
    <w:basedOn w:val="889"/>
    <w:link w:val="881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901" w:customStyle="1">
    <w:name w:val="Heading 3 Char"/>
    <w:basedOn w:val="889"/>
    <w:link w:val="882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902" w:customStyle="1">
    <w:name w:val="Heading 4 Char"/>
    <w:basedOn w:val="889"/>
    <w:link w:val="883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03" w:customStyle="1">
    <w:name w:val="Heading 5 Char"/>
    <w:basedOn w:val="889"/>
    <w:link w:val="884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04" w:customStyle="1">
    <w:name w:val="Heading 6 Char"/>
    <w:basedOn w:val="889"/>
    <w:link w:val="885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05" w:customStyle="1">
    <w:name w:val="Heading 7 Char"/>
    <w:basedOn w:val="889"/>
    <w:link w:val="886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06" w:customStyle="1">
    <w:name w:val="Heading 8 Char"/>
    <w:basedOn w:val="889"/>
    <w:link w:val="88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07" w:customStyle="1">
    <w:name w:val="Heading 9 Char"/>
    <w:basedOn w:val="889"/>
    <w:link w:val="888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908">
    <w:name w:val="No Spacing"/>
    <w:uiPriority w:val="1"/>
    <w:qFormat/>
    <w:pPr>
      <w:pBdr/>
      <w:spacing/>
      <w:ind/>
    </w:pPr>
  </w:style>
  <w:style w:type="paragraph" w:styleId="909">
    <w:name w:val="Title"/>
    <w:basedOn w:val="879"/>
    <w:next w:val="879"/>
    <w:link w:val="910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910" w:customStyle="1">
    <w:name w:val="Title Char"/>
    <w:basedOn w:val="889"/>
    <w:link w:val="909"/>
    <w:uiPriority w:val="10"/>
    <w:pPr>
      <w:pBdr/>
      <w:spacing/>
      <w:ind/>
    </w:pPr>
    <w:rPr>
      <w:sz w:val="48"/>
      <w:szCs w:val="48"/>
    </w:rPr>
  </w:style>
  <w:style w:type="paragraph" w:styleId="911">
    <w:name w:val="Subtitle"/>
    <w:basedOn w:val="879"/>
    <w:next w:val="879"/>
    <w:link w:val="912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912" w:customStyle="1">
    <w:name w:val="Subtitle Char"/>
    <w:basedOn w:val="889"/>
    <w:link w:val="911"/>
    <w:uiPriority w:val="11"/>
    <w:pPr>
      <w:pBdr/>
      <w:spacing/>
      <w:ind/>
    </w:pPr>
    <w:rPr>
      <w:sz w:val="24"/>
      <w:szCs w:val="24"/>
    </w:rPr>
  </w:style>
  <w:style w:type="paragraph" w:styleId="913">
    <w:name w:val="Quote"/>
    <w:basedOn w:val="879"/>
    <w:next w:val="879"/>
    <w:link w:val="914"/>
    <w:uiPriority w:val="29"/>
    <w:qFormat/>
    <w:pPr>
      <w:pBdr/>
      <w:spacing/>
      <w:ind w:right="720" w:left="720"/>
    </w:pPr>
    <w:rPr>
      <w:i/>
    </w:rPr>
  </w:style>
  <w:style w:type="character" w:styleId="914" w:customStyle="1">
    <w:name w:val="Quote Char"/>
    <w:link w:val="913"/>
    <w:uiPriority w:val="29"/>
    <w:pPr>
      <w:pBdr/>
      <w:spacing/>
      <w:ind/>
    </w:pPr>
    <w:rPr>
      <w:i/>
    </w:rPr>
  </w:style>
  <w:style w:type="paragraph" w:styleId="915">
    <w:name w:val="Intense Quote"/>
    <w:basedOn w:val="879"/>
    <w:next w:val="879"/>
    <w:link w:val="91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916" w:customStyle="1">
    <w:name w:val="Intense Quote Char"/>
    <w:link w:val="915"/>
    <w:uiPriority w:val="30"/>
    <w:pPr>
      <w:pBdr/>
      <w:spacing/>
      <w:ind/>
    </w:pPr>
    <w:rPr>
      <w:i/>
    </w:rPr>
  </w:style>
  <w:style w:type="paragraph" w:styleId="917">
    <w:name w:val="Caption"/>
    <w:basedOn w:val="879"/>
    <w:next w:val="879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918" w:customStyle="1">
    <w:name w:val="Caption Char"/>
    <w:link w:val="1068"/>
    <w:uiPriority w:val="99"/>
    <w:pPr>
      <w:pBdr/>
      <w:spacing/>
      <w:ind/>
    </w:pPr>
  </w:style>
  <w:style w:type="table" w:styleId="919">
    <w:name w:val="Table Grid"/>
    <w:basedOn w:val="890"/>
    <w:uiPriority w:val="59"/>
    <w:pPr>
      <w:pBdr/>
      <w:spacing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Table Grid Light"/>
    <w:basedOn w:val="890"/>
    <w:uiPriority w:val="59"/>
    <w:pPr>
      <w:pBdr/>
      <w:spacing/>
      <w:ind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Plain Table 1"/>
    <w:basedOn w:val="890"/>
    <w:uiPriority w:val="59"/>
    <w:pPr>
      <w:pBdr/>
      <w:spacing/>
      <w:ind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Plain Table 2"/>
    <w:basedOn w:val="890"/>
    <w:uiPriority w:val="59"/>
    <w:pPr>
      <w:pBdr/>
      <w:spacing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Plain Table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Plain Table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Plain Table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Grid Table 1 Light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Grid Table 1 Light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Grid Table 1 Light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Grid Table 1 Light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Grid Table 1 Light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Grid Table 1 Light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Grid Table 1 Light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Grid Table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Grid Table 2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Grid Table 2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Grid Table 2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Grid Table 2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Grid Table 2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Grid Table 2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Grid Table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Grid Table 3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Grid Table 3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Grid Table 3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Grid Table 3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Grid Table 3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Grid Table 3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Grid Table 4"/>
    <w:basedOn w:val="890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Grid Table 4 - Accent 1"/>
    <w:basedOn w:val="890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Grid Table 4 - Accent 2"/>
    <w:basedOn w:val="890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Grid Table 4 - Accent 3"/>
    <w:basedOn w:val="890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Grid Table 4 - Accent 4"/>
    <w:basedOn w:val="890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Grid Table 4 - Accent 5"/>
    <w:basedOn w:val="890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Grid Table 4 - Accent 6"/>
    <w:basedOn w:val="890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Grid Table 5 Dark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Grid Table 5 Dark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Grid Table 5 Dark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Grid Table 5 Dark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Grid Table 5 Dark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Grid Table 5 Dark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Grid Table 5 Dark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Grid Table 6 Colorful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Grid Table 6 Colorful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Grid Table 6 Colorful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Grid Table 6 Colorful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Grid Table 6 Colorful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Grid Table 6 Colorful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Grid Table 6 Colorful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Grid Table 7 Colorful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Grid Table 7 Colorful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Grid Table 7 Colorful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Grid Table 7 Colorful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Grid Table 7 Colorful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Grid Table 7 Colorful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Grid Table 7 Colorful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List Table 1 Light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List Table 1 Light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List Table 1 Light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1 Light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st Table 1 Light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List Table 1 Light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List Table 1 Light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st Table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List Table 2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List Table 2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st Table 2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List Table 2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List Table 2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List Table 2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List Table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List Table 3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List Table 3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List Table 3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List Table 3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List Table 3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List Table 3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List Table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List Table 4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List Table 4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List Table 4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List Table 4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List Table 4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List Table 4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List Table 5 Dark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List Table 5 Dark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List Table 5 Dark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List Table 5 Dark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List Table 5 Dark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List Table 5 Dark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List Table 5 Dark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List Table 6 Colorful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 w:customStyle="1">
    <w:name w:val="List Table 6 Colorful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List Table 6 Colorful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List Table 6 Colorful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List Table 6 Colorful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List Table 6 Colorful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List Table 6 Colorful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List Table 7 Colorful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 w:customStyle="1">
    <w:name w:val="List Table 7 Colorful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 w:customStyle="1">
    <w:name w:val="List Table 7 Colorful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 w:customStyle="1">
    <w:name w:val="List Table 7 Colorful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List Table 7 Colorful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List Table 7 Colorful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List Table 7 Colorful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 w:customStyle="1">
    <w:name w:val="Lined - Accent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 w:customStyle="1">
    <w:name w:val="Lined - Accent 1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Lined - Accent 2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 w:customStyle="1">
    <w:name w:val="Lined - Accent 3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 w:customStyle="1">
    <w:name w:val="Lined - Accent 4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Lined - Accent 5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Lined - Accent 6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Bordered &amp; Lined - Accent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Bordered &amp; Lined - Accent 1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Bordered &amp; Lined - Accent 2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Bordered &amp; Lined - Accent 3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 w:customStyle="1">
    <w:name w:val="Bordered &amp; Lined - Accent 4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 w:customStyle="1">
    <w:name w:val="Bordered &amp; Lined - Accent 5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Bordered &amp; Lined - Accent 6"/>
    <w:basedOn w:val="89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Bordered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Bordered - Accent 1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Bordered - Accent 2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Bordered - Accent 3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Bordered - Accent 4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 w:customStyle="1">
    <w:name w:val="Bordered - Accent 5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 w:customStyle="1">
    <w:name w:val="Bordered - Accent 6"/>
    <w:basedOn w:val="890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45">
    <w:name w:val="footnote text"/>
    <w:basedOn w:val="879"/>
    <w:link w:val="1046"/>
    <w:uiPriority w:val="99"/>
    <w:semiHidden/>
    <w:unhideWhenUsed/>
    <w:pPr>
      <w:pBdr/>
      <w:spacing w:after="40"/>
      <w:ind/>
    </w:pPr>
    <w:rPr>
      <w:sz w:val="18"/>
    </w:rPr>
  </w:style>
  <w:style w:type="character" w:styleId="1046" w:customStyle="1">
    <w:name w:val="Footnote Text Char"/>
    <w:link w:val="1045"/>
    <w:uiPriority w:val="99"/>
    <w:pPr>
      <w:pBdr/>
      <w:spacing/>
      <w:ind/>
    </w:pPr>
    <w:rPr>
      <w:sz w:val="18"/>
    </w:rPr>
  </w:style>
  <w:style w:type="character" w:styleId="1047">
    <w:name w:val="footnote reference"/>
    <w:basedOn w:val="889"/>
    <w:uiPriority w:val="99"/>
    <w:unhideWhenUsed/>
    <w:pPr>
      <w:pBdr/>
      <w:spacing/>
      <w:ind/>
    </w:pPr>
    <w:rPr>
      <w:vertAlign w:val="superscript"/>
    </w:rPr>
  </w:style>
  <w:style w:type="paragraph" w:styleId="1048">
    <w:name w:val="endnote text"/>
    <w:basedOn w:val="879"/>
    <w:link w:val="1049"/>
    <w:uiPriority w:val="99"/>
    <w:semiHidden/>
    <w:unhideWhenUsed/>
    <w:pPr>
      <w:pBdr/>
      <w:spacing/>
      <w:ind/>
    </w:pPr>
  </w:style>
  <w:style w:type="character" w:styleId="1049" w:customStyle="1">
    <w:name w:val="Endnote Text Char"/>
    <w:link w:val="1048"/>
    <w:uiPriority w:val="99"/>
    <w:pPr>
      <w:pBdr/>
      <w:spacing/>
      <w:ind/>
    </w:pPr>
    <w:rPr>
      <w:sz w:val="20"/>
    </w:rPr>
  </w:style>
  <w:style w:type="character" w:styleId="1050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1051">
    <w:name w:val="toc 1"/>
    <w:basedOn w:val="879"/>
    <w:next w:val="879"/>
    <w:uiPriority w:val="39"/>
    <w:unhideWhenUsed/>
    <w:pPr>
      <w:pBdr/>
      <w:spacing w:after="57"/>
      <w:ind/>
    </w:pPr>
  </w:style>
  <w:style w:type="paragraph" w:styleId="1052">
    <w:name w:val="toc 2"/>
    <w:basedOn w:val="879"/>
    <w:next w:val="879"/>
    <w:uiPriority w:val="39"/>
    <w:unhideWhenUsed/>
    <w:pPr>
      <w:pBdr/>
      <w:spacing w:after="57"/>
      <w:ind w:left="283"/>
    </w:pPr>
  </w:style>
  <w:style w:type="paragraph" w:styleId="1053">
    <w:name w:val="toc 3"/>
    <w:basedOn w:val="879"/>
    <w:next w:val="879"/>
    <w:uiPriority w:val="39"/>
    <w:unhideWhenUsed/>
    <w:pPr>
      <w:pBdr/>
      <w:spacing w:after="57"/>
      <w:ind w:left="567"/>
    </w:pPr>
  </w:style>
  <w:style w:type="paragraph" w:styleId="1054">
    <w:name w:val="toc 4"/>
    <w:basedOn w:val="879"/>
    <w:next w:val="879"/>
    <w:uiPriority w:val="39"/>
    <w:unhideWhenUsed/>
    <w:pPr>
      <w:pBdr/>
      <w:spacing w:after="57"/>
      <w:ind w:left="850"/>
    </w:pPr>
  </w:style>
  <w:style w:type="paragraph" w:styleId="1055">
    <w:name w:val="toc 5"/>
    <w:basedOn w:val="879"/>
    <w:next w:val="879"/>
    <w:uiPriority w:val="39"/>
    <w:unhideWhenUsed/>
    <w:pPr>
      <w:pBdr/>
      <w:spacing w:after="57"/>
      <w:ind w:left="1134"/>
    </w:pPr>
  </w:style>
  <w:style w:type="paragraph" w:styleId="1056">
    <w:name w:val="toc 6"/>
    <w:basedOn w:val="879"/>
    <w:next w:val="879"/>
    <w:uiPriority w:val="39"/>
    <w:unhideWhenUsed/>
    <w:pPr>
      <w:pBdr/>
      <w:spacing w:after="57"/>
      <w:ind w:left="1417"/>
    </w:pPr>
  </w:style>
  <w:style w:type="paragraph" w:styleId="1057">
    <w:name w:val="toc 7"/>
    <w:basedOn w:val="879"/>
    <w:next w:val="879"/>
    <w:uiPriority w:val="39"/>
    <w:unhideWhenUsed/>
    <w:pPr>
      <w:pBdr/>
      <w:spacing w:after="57"/>
      <w:ind w:left="1701"/>
    </w:pPr>
  </w:style>
  <w:style w:type="paragraph" w:styleId="1058">
    <w:name w:val="toc 8"/>
    <w:basedOn w:val="879"/>
    <w:next w:val="879"/>
    <w:uiPriority w:val="39"/>
    <w:unhideWhenUsed/>
    <w:pPr>
      <w:pBdr/>
      <w:spacing w:after="57"/>
      <w:ind w:left="1984"/>
    </w:pPr>
  </w:style>
  <w:style w:type="paragraph" w:styleId="1059">
    <w:name w:val="toc 9"/>
    <w:basedOn w:val="879"/>
    <w:next w:val="879"/>
    <w:uiPriority w:val="39"/>
    <w:unhideWhenUsed/>
    <w:pPr>
      <w:pBdr/>
      <w:spacing w:after="57"/>
      <w:ind w:left="2268"/>
    </w:pPr>
  </w:style>
  <w:style w:type="paragraph" w:styleId="1060">
    <w:name w:val="TOC Heading"/>
    <w:uiPriority w:val="39"/>
    <w:unhideWhenUsed/>
    <w:pPr>
      <w:pBdr/>
      <w:spacing/>
      <w:ind/>
    </w:pPr>
  </w:style>
  <w:style w:type="paragraph" w:styleId="1061">
    <w:name w:val="table of figures"/>
    <w:basedOn w:val="879"/>
    <w:next w:val="879"/>
    <w:uiPriority w:val="99"/>
    <w:unhideWhenUsed/>
    <w:pPr>
      <w:pBdr/>
      <w:spacing/>
      <w:ind/>
    </w:pPr>
  </w:style>
  <w:style w:type="paragraph" w:styleId="1062">
    <w:name w:val="List Paragraph"/>
    <w:basedOn w:val="879"/>
    <w:uiPriority w:val="34"/>
    <w:qFormat/>
    <w:pPr>
      <w:pBdr/>
      <w:spacing/>
      <w:ind w:left="720"/>
      <w:contextualSpacing w:val="true"/>
    </w:pPr>
  </w:style>
  <w:style w:type="character" w:styleId="1063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1064" w:customStyle="1">
    <w:name w:val="apple-style-span"/>
    <w:basedOn w:val="889"/>
    <w:pPr>
      <w:pBdr/>
      <w:spacing/>
      <w:ind/>
    </w:pPr>
  </w:style>
  <w:style w:type="character" w:styleId="1065" w:customStyle="1">
    <w:name w:val="Heading 1 Char"/>
    <w:link w:val="880"/>
    <w:uiPriority w:val="9"/>
    <w:pPr>
      <w:pBdr/>
      <w:spacing/>
      <w:ind/>
    </w:pPr>
    <w:rPr>
      <w:rFonts w:eastAsia="Times New Roman" w:cs="Times New Roman"/>
      <w:b/>
      <w:bCs/>
      <w:color w:val="000000"/>
      <w:sz w:val="28"/>
      <w:szCs w:val="28"/>
      <w:lang w:val="ro-RO"/>
    </w:rPr>
  </w:style>
  <w:style w:type="paragraph" w:styleId="1066">
    <w:name w:val="Header"/>
    <w:basedOn w:val="879"/>
    <w:link w:val="1067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067" w:customStyle="1">
    <w:name w:val="Header Char"/>
    <w:link w:val="1066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068">
    <w:name w:val="Footer"/>
    <w:basedOn w:val="879"/>
    <w:link w:val="1069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069" w:customStyle="1">
    <w:name w:val="Footer Char"/>
    <w:link w:val="1068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070">
    <w:name w:val="Balloon Text"/>
    <w:basedOn w:val="879"/>
    <w:link w:val="1071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071" w:customStyle="1">
    <w:name w:val="Balloon Text Char"/>
    <w:link w:val="1070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val="ro-RO"/>
    </w:rPr>
  </w:style>
  <w:style w:type="paragraph" w:styleId="1072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/>
      <w:ind/>
    </w:pPr>
    <w:rPr>
      <w:rFonts w:ascii="Arial" w:hAnsi="Arial" w:eastAsia="Times New Roman" w:cs="Arial"/>
      <w:color w:val="000000"/>
      <w:sz w:val="24"/>
      <w:szCs w:val="24"/>
    </w:rPr>
  </w:style>
  <w:style w:type="paragraph" w:styleId="1073">
    <w:name w:val="Document Map"/>
    <w:basedOn w:val="879"/>
    <w:link w:val="1074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074" w:customStyle="1">
    <w:name w:val="Document Map Char"/>
    <w:basedOn w:val="889"/>
    <w:link w:val="1073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val="ro-RO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office@itb.ro" TargetMode="External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6DD60-01F6-4249-A16A-594D7E8C9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>Microsoft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revision>43</cp:revision>
  <dcterms:created xsi:type="dcterms:W3CDTF">2023-02-25T10:47:00Z</dcterms:created>
  <dcterms:modified xsi:type="dcterms:W3CDTF">2024-11-23T01:35:35Z</dcterms:modified>
</cp:coreProperties>
</file>