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widowControl w:val="false"/>
        <w:pBdr/>
        <w:spacing w:after="20" w:before="20"/>
        <w:ind/>
        <w:jc w:val="center"/>
        <w:rPr>
          <w:rFonts w:ascii="Gentium" w:hAnsi="Gentium"/>
          <w:b/>
          <w:bCs/>
        </w:rPr>
      </w:pPr>
      <w:r>
        <w:rPr>
          <w:rFonts w:ascii="Gentium" w:hAnsi="Gentium"/>
          <w:b/>
          <w:bCs/>
        </w:rPr>
      </w:r>
      <w:r>
        <w:rPr>
          <w:rFonts w:ascii="Gentium" w:hAnsi="Gentium"/>
          <w:b/>
          <w:bCs/>
        </w:rPr>
      </w:r>
    </w:p>
    <w:p>
      <w:pPr>
        <w:widowControl w:val="false"/>
        <w:pBdr/>
        <w:spacing w:after="20" w:before="20"/>
        <w:ind/>
        <w:jc w:val="center"/>
        <w:outlineLvl w:val="0"/>
        <w:rPr>
          <w:rFonts w:ascii="Gentium" w:hAnsi="Gentium"/>
          <w:b/>
          <w:bCs/>
        </w:rPr>
      </w:pPr>
      <w:r>
        <w:rPr>
          <w:rFonts w:ascii="Gentium" w:hAnsi="Gentium"/>
          <w:b/>
          <w:sz w:val="48"/>
          <w:szCs w:val="48"/>
        </w:rPr>
        <w:t xml:space="preserve">FIŞA DISCIPLINEI </w:t>
      </w:r>
      <w:r>
        <w:rPr>
          <w:rFonts w:ascii="Gentium" w:hAnsi="Gentium"/>
          <w:b/>
          <w:bCs/>
        </w:rPr>
      </w:r>
    </w:p>
    <w:p>
      <w:pPr>
        <w:widowControl w:val="false"/>
        <w:pBdr/>
        <w:spacing w:after="20" w:before="20"/>
        <w:ind/>
        <w:jc w:val="center"/>
        <w:outlineLvl w:val="0"/>
        <w:rPr>
          <w:rFonts w:ascii="Gentium" w:hAnsi="Gentium"/>
          <w:b/>
          <w:sz w:val="36"/>
          <w:szCs w:val="36"/>
        </w:rPr>
      </w:pPr>
      <w:r>
        <w:rPr>
          <w:rFonts w:ascii="Gentium" w:hAnsi="Gentium"/>
          <w:b/>
          <w:sz w:val="36"/>
          <w:szCs w:val="36"/>
        </w:rPr>
        <w:t xml:space="preserve">anul universitar 202</w:t>
      </w:r>
      <w:r>
        <w:rPr>
          <w:rFonts w:ascii="Gentium" w:hAnsi="Gentium"/>
          <w:b/>
          <w:sz w:val="36"/>
          <w:szCs w:val="36"/>
          <w:lang w:val="en-US"/>
        </w:rPr>
        <w:t xml:space="preserve">4</w:t>
      </w:r>
      <w:r>
        <w:rPr>
          <w:rFonts w:ascii="Gentium" w:hAnsi="Gentium"/>
          <w:b/>
          <w:sz w:val="36"/>
          <w:szCs w:val="36"/>
        </w:rPr>
        <w:t xml:space="preserve"> – 202</w:t>
      </w:r>
      <w:r>
        <w:rPr>
          <w:rFonts w:ascii="Gentium" w:hAnsi="Gentium"/>
          <w:b/>
          <w:sz w:val="36"/>
          <w:szCs w:val="36"/>
          <w:lang w:val="en-US"/>
        </w:rPr>
        <w:t xml:space="preserve">5</w:t>
      </w:r>
      <w:r>
        <w:rPr>
          <w:rFonts w:ascii="Gentium" w:hAnsi="Gentium"/>
          <w:b/>
          <w:sz w:val="36"/>
          <w:szCs w:val="36"/>
        </w:rPr>
      </w:r>
    </w:p>
    <w:p>
      <w:pPr>
        <w:widowControl w:val="false"/>
        <w:pBdr/>
        <w:tabs>
          <w:tab w:val="left" w:leader="none" w:pos="3910"/>
          <w:tab w:val="center" w:leader="none" w:pos="4873"/>
        </w:tabs>
        <w:spacing w:after="20" w:before="20"/>
        <w:ind/>
        <w:rPr>
          <w:rFonts w:ascii="Gentium" w:hAnsi="Gentium"/>
          <w:b/>
          <w:lang w:val="en-US"/>
        </w:rPr>
      </w:pPr>
      <w:r>
        <w:rPr>
          <w:rFonts w:ascii="Gentium" w:hAnsi="Gentium"/>
          <w:b/>
          <w:lang w:val="en-US"/>
        </w:rPr>
        <w:tab/>
      </w:r>
      <w:r>
        <w:rPr>
          <w:rFonts w:ascii="Gentium" w:hAnsi="Gentium"/>
          <w:b/>
          <w:lang w:val="en-US"/>
        </w:rPr>
        <w:tab/>
      </w:r>
      <w:r>
        <w:rPr>
          <w:rFonts w:ascii="Gentium" w:hAnsi="Gentium"/>
          <w:b/>
          <w:lang w:val="en-US"/>
        </w:rPr>
      </w:r>
    </w:p>
    <w:p>
      <w:pPr>
        <w:widowControl w:val="false"/>
        <w:pBdr/>
        <w:spacing w:after="20" w:before="20"/>
        <w:ind/>
        <w:jc w:val="center"/>
        <w:rPr>
          <w:rFonts w:ascii="Gentium" w:hAnsi="Gentium"/>
          <w:b/>
          <w:sz w:val="16"/>
          <w:szCs w:val="16"/>
        </w:rPr>
      </w:pPr>
      <w:r>
        <w:rPr>
          <w:rFonts w:ascii="Gentium" w:hAnsi="Gentium"/>
          <w:b/>
          <w:sz w:val="16"/>
          <w:szCs w:val="16"/>
        </w:rPr>
      </w:r>
      <w:r>
        <w:rPr>
          <w:rFonts w:ascii="Gentium" w:hAnsi="Gentium"/>
          <w:b/>
          <w:sz w:val="16"/>
          <w:szCs w:val="16"/>
        </w:rPr>
      </w:r>
    </w:p>
    <w:p>
      <w:pPr>
        <w:widowControl w:val="false"/>
        <w:numPr>
          <w:ilvl w:val="0"/>
          <w:numId w:val="10"/>
        </w:numPr>
        <w:pBdr/>
        <w:tabs>
          <w:tab w:val="clear" w:leader="none" w:pos="360"/>
          <w:tab w:val="center" w:leader="none" w:pos="4873"/>
        </w:tabs>
        <w:spacing w:after="20" w:before="20"/>
        <w:ind/>
        <w:rPr>
          <w:rFonts w:ascii="Gentium" w:hAnsi="Gentium"/>
          <w:b/>
        </w:rPr>
      </w:pPr>
      <w:r>
        <w:rPr>
          <w:rFonts w:ascii="Gentium" w:hAnsi="Gentium"/>
          <w:b/>
        </w:rPr>
        <w:t xml:space="preserve">Date despre program</w:t>
      </w:r>
      <w:r>
        <w:rPr>
          <w:rFonts w:ascii="Gentium" w:hAnsi="Gentium"/>
          <w:b/>
        </w:rPr>
        <w:tab/>
      </w:r>
      <w:r>
        <w:rPr>
          <w:rFonts w:ascii="Gentium" w:hAnsi="Gentium"/>
          <w:b/>
        </w:rPr>
      </w:r>
    </w:p>
    <w:tbl>
      <w:tblPr>
        <w:tblW w:w="5000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4138"/>
        <w:gridCol w:w="6000"/>
      </w:tblGrid>
      <w:tr>
        <w:trPr/>
        <w:tc>
          <w:tcPr>
            <w:shd w:val="clear" w:color="ffffff" w:fill="ffffff"/>
            <w:tcBorders/>
            <w:tcW w:w="2041" w:type="pct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1.1. Instituţia de învăţămînt</w:t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ffffff"/>
            <w:tcBorders/>
            <w:tcW w:w="2959" w:type="pct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  <w:b/>
                <w:lang w:val="en-US"/>
              </w:rPr>
            </w:pPr>
            <w:r>
              <w:rPr>
                <w:rFonts w:ascii="Gentium" w:hAnsi="Gentium"/>
                <w:b/>
                <w:lang w:val="en-US"/>
              </w:rPr>
              <w:t xml:space="preserve">INSTITUTUL TEOLOGIC BAPTIST DIN BUCUREŞTI</w:t>
            </w:r>
            <w:r>
              <w:rPr>
                <w:rFonts w:ascii="Gentium" w:hAnsi="Gentium"/>
                <w:b/>
                <w:lang w:val="en-US"/>
              </w:rPr>
            </w:r>
          </w:p>
        </w:tc>
      </w:tr>
      <w:tr>
        <w:trPr/>
        <w:tc>
          <w:tcPr>
            <w:shd w:val="clear" w:color="ffffff" w:fill="ffffff"/>
            <w:tcBorders/>
            <w:tcW w:w="2041" w:type="pct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1.2. Facultatea </w:t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ffffff"/>
            <w:tcBorders/>
            <w:tcW w:w="2959" w:type="pct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  <w:b/>
                <w:lang w:val="en-US"/>
              </w:rPr>
            </w:pPr>
            <w:r>
              <w:rPr>
                <w:rFonts w:ascii="Gentium" w:hAnsi="Gentium"/>
                <w:b/>
                <w:lang w:val="en-US"/>
              </w:rPr>
              <w:t xml:space="preserve">Facultatea</w:t>
            </w:r>
            <w:r>
              <w:rPr>
                <w:rFonts w:ascii="Gentium" w:hAnsi="Gentium"/>
                <w:b/>
                <w:lang w:val="en-US"/>
              </w:rPr>
              <w:t xml:space="preserve"> </w:t>
            </w:r>
            <w:r>
              <w:rPr>
                <w:rFonts w:ascii="Gentium" w:hAnsi="Gentium"/>
                <w:b/>
              </w:rPr>
              <w:t xml:space="preserve">de Teolog</w:t>
            </w:r>
            <w:r>
              <w:rPr>
                <w:rFonts w:ascii="Gentium" w:hAnsi="Gentium"/>
                <w:b/>
                <w:lang w:val="en-US"/>
              </w:rPr>
              <w:t xml:space="preserve">ie</w:t>
            </w:r>
            <w:r>
              <w:rPr>
                <w:rFonts w:ascii="Gentium" w:hAnsi="Gentium"/>
                <w:b/>
                <w:lang w:val="en-US"/>
              </w:rPr>
              <w:t xml:space="preserve"> </w:t>
            </w:r>
            <w:r>
              <w:rPr>
                <w:rFonts w:ascii="Gentium" w:hAnsi="Gentium"/>
                <w:b/>
                <w:lang w:val="en-US"/>
              </w:rPr>
              <w:t xml:space="preserve">Pastorală</w:t>
            </w:r>
            <w:r>
              <w:rPr>
                <w:rFonts w:ascii="Gentium" w:hAnsi="Gentium"/>
                <w:b/>
                <w:lang w:val="en-US"/>
              </w:rPr>
            </w:r>
          </w:p>
        </w:tc>
      </w:tr>
      <w:tr>
        <w:trPr/>
        <w:tc>
          <w:tcPr>
            <w:shd w:val="clear" w:color="ffffff" w:fill="ffffff"/>
            <w:tcBorders/>
            <w:tcW w:w="2041" w:type="pct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1.3. Departamentul </w:t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ffffff"/>
            <w:tcBorders/>
            <w:tcW w:w="2959" w:type="pct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  <w:b/>
                <w:lang w:val="en-US"/>
              </w:rPr>
            </w:pPr>
            <w:r>
              <w:rPr>
                <w:rFonts w:ascii="Gentium" w:hAnsi="Gentium"/>
                <w:b/>
              </w:rPr>
              <w:t xml:space="preserve">Teologie </w:t>
            </w:r>
            <w:r>
              <w:rPr>
                <w:rFonts w:ascii="Gentium" w:hAnsi="Gentium"/>
                <w:b/>
                <w:lang w:val="en-US"/>
              </w:rPr>
              <w:t xml:space="preserve">Baptistă</w:t>
            </w:r>
            <w:r>
              <w:rPr>
                <w:rFonts w:ascii="Gentium" w:hAnsi="Gentium"/>
                <w:b/>
                <w:lang w:val="en-US"/>
              </w:rPr>
              <w:t xml:space="preserve"> </w:t>
            </w:r>
            <w:r>
              <w:rPr>
                <w:rFonts w:ascii="Gentium" w:hAnsi="Gentium"/>
                <w:b/>
                <w:lang w:val="en-US"/>
              </w:rPr>
              <w:t xml:space="preserve">Pastorală</w:t>
            </w:r>
            <w:r>
              <w:rPr>
                <w:rFonts w:ascii="Gentium" w:hAnsi="Gentium"/>
                <w:b/>
                <w:lang w:val="en-US"/>
              </w:rPr>
            </w:r>
          </w:p>
        </w:tc>
      </w:tr>
      <w:tr>
        <w:trPr/>
        <w:tc>
          <w:tcPr>
            <w:shd w:val="clear" w:color="ffffff" w:fill="ffffff"/>
            <w:tcBorders/>
            <w:tcW w:w="2041" w:type="pct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1.4. Domeniul de studii</w:t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ffffff"/>
            <w:tcBorders/>
            <w:tcW w:w="2959" w:type="pct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  <w:b/>
                <w:lang w:val="en-US"/>
              </w:rPr>
            </w:pPr>
            <w:r>
              <w:rPr>
                <w:rFonts w:ascii="Gentium" w:hAnsi="Gentium"/>
                <w:b/>
              </w:rPr>
              <w:t xml:space="preserve">Teologie </w:t>
            </w:r>
            <w:r>
              <w:rPr>
                <w:rFonts w:ascii="Gentium" w:hAnsi="Gentium"/>
                <w:b/>
                <w:lang w:val="en-US"/>
              </w:rPr>
              <w:t xml:space="preserve">Baptistă</w:t>
            </w:r>
            <w:r>
              <w:rPr>
                <w:rFonts w:ascii="Gentium" w:hAnsi="Gentium"/>
                <w:b/>
                <w:lang w:val="en-US"/>
              </w:rPr>
              <w:t xml:space="preserve"> </w:t>
            </w:r>
            <w:r>
              <w:rPr>
                <w:rFonts w:ascii="Gentium" w:hAnsi="Gentium"/>
                <w:b/>
                <w:lang w:val="en-US"/>
              </w:rPr>
              <w:t xml:space="preserve">pastorală</w:t>
            </w:r>
            <w:r>
              <w:rPr>
                <w:rFonts w:ascii="Gentium" w:hAnsi="Gentium"/>
                <w:b/>
                <w:lang w:val="en-US"/>
              </w:rPr>
            </w:r>
          </w:p>
        </w:tc>
      </w:tr>
      <w:tr>
        <w:trPr/>
        <w:tc>
          <w:tcPr>
            <w:shd w:val="clear" w:color="ffffff" w:fill="ffffff"/>
            <w:tcBorders/>
            <w:tcW w:w="2041" w:type="pct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1.5. Ciclul de studii</w:t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ffffff"/>
            <w:tcBorders/>
            <w:tcW w:w="2959" w:type="pct"/>
          </w:tcPr>
          <w:p>
            <w:pPr>
              <w:pBdr/>
              <w:spacing/>
              <w:ind/>
              <w:rPr>
                <w:rFonts w:ascii="Gentium" w:hAnsi="Gentium"/>
                <w:b/>
                <w:i/>
                <w:lang w:val="en-US"/>
              </w:rPr>
            </w:pPr>
            <w:r>
              <w:rPr>
                <w:rFonts w:ascii="Gentium" w:hAnsi="Gentium"/>
                <w:b/>
              </w:rPr>
              <w:t xml:space="preserve">Masterat</w:t>
            </w:r>
            <w:r>
              <w:rPr>
                <w:rFonts w:ascii="Gentium" w:hAnsi="Gentium"/>
                <w:b/>
                <w:lang w:val="en-US"/>
              </w:rPr>
              <w:t xml:space="preserve"> </w:t>
            </w:r>
            <w:r>
              <w:rPr>
                <w:rFonts w:ascii="Gentium" w:hAnsi="Gentium" w:eastAsia="Albertus Medium"/>
                <w:b/>
                <w:color w:val="0a0a0a"/>
                <w:sz w:val="22"/>
                <w:szCs w:val="22"/>
                <w:lang w:val="en-US" w:eastAsia="zh-CN"/>
              </w:rPr>
              <w:t xml:space="preserve">(ISCED level 7 – EQF level 7)</w:t>
            </w:r>
            <w:r>
              <w:rPr>
                <w:rFonts w:ascii="Gentium" w:hAnsi="Gentium"/>
                <w:b/>
                <w:i/>
                <w:lang w:val="en-US"/>
              </w:rPr>
            </w:r>
          </w:p>
        </w:tc>
      </w:tr>
      <w:tr>
        <w:trPr/>
        <w:tc>
          <w:tcPr>
            <w:shd w:val="clear" w:color="ffffff" w:fill="ffffff"/>
            <w:tcBorders/>
            <w:tcW w:w="2041" w:type="pct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1.6. Programul de studii</w:t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d9d9d9"/>
            <w:tcBorders/>
            <w:tcW w:w="2959" w:type="pct"/>
          </w:tcPr>
          <w:p>
            <w:pPr>
              <w:pBdr/>
              <w:spacing/>
              <w:ind/>
              <w:rPr>
                <w:rFonts w:ascii="Gentium" w:hAnsi="Gentium"/>
                <w:b/>
                <w:lang w:val="en-US"/>
              </w:rPr>
            </w:pPr>
            <w:r>
              <w:rPr>
                <w:rFonts w:ascii="Gentium" w:hAnsi="Gentium"/>
                <w:b/>
                <w:sz w:val="22"/>
                <w:szCs w:val="22"/>
                <w:lang w:val="en-US"/>
              </w:rPr>
              <w:t xml:space="preserve">Masterat</w:t>
            </w:r>
            <w:r>
              <w:rPr>
                <w:rFonts w:ascii="Gentium" w:hAnsi="Gentium"/>
                <w:b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Gentium" w:hAnsi="Gentium" w:eastAsia="Arial-Italic-Bold"/>
                <w:b/>
                <w:color w:val="000000"/>
                <w:sz w:val="22"/>
                <w:szCs w:val="22"/>
                <w:lang w:val="en-US" w:eastAsia="zh-CN"/>
              </w:rPr>
              <w:t xml:space="preserve">Teologie</w:t>
            </w:r>
            <w:r>
              <w:rPr>
                <w:rFonts w:ascii="Gentium" w:hAnsi="Gentium" w:eastAsia="Arial-Italic-Bold"/>
                <w:b/>
                <w:color w:val="00000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ascii="Gentium" w:hAnsi="Gentium" w:eastAsia="Arial-Italic-Bold"/>
                <w:b/>
                <w:color w:val="000000"/>
                <w:sz w:val="22"/>
                <w:szCs w:val="22"/>
                <w:lang w:val="en-US" w:eastAsia="zh-CN"/>
              </w:rPr>
              <w:t xml:space="preserve">Aplicată</w:t>
            </w:r>
            <w:r>
              <w:rPr>
                <w:rFonts w:ascii="Gentium" w:hAnsi="Gentium" w:eastAsia="Arial-Italic-Bold"/>
                <w:b/>
                <w:color w:val="000000"/>
                <w:sz w:val="22"/>
                <w:szCs w:val="22"/>
                <w:lang w:val="en-US" w:eastAsia="zh-CN"/>
              </w:rPr>
              <w:t xml:space="preserve">: </w:t>
            </w:r>
            <w:r>
              <w:rPr>
                <w:rFonts w:ascii="Gentium" w:hAnsi="Gentium" w:eastAsia="Arial-Italic-Bold"/>
                <w:b/>
                <w:color w:val="000000"/>
                <w:sz w:val="22"/>
                <w:szCs w:val="22"/>
                <w:lang w:val="en-US" w:eastAsia="zh-CN"/>
              </w:rPr>
              <w:t xml:space="preserve">lucrarea</w:t>
            </w:r>
            <w:r>
              <w:rPr>
                <w:rFonts w:ascii="Gentium" w:hAnsi="Gentium" w:eastAsia="Arial-Italic-Bold"/>
                <w:b/>
                <w:color w:val="000000"/>
                <w:sz w:val="22"/>
                <w:szCs w:val="22"/>
                <w:lang w:val="en-US" w:eastAsia="zh-CN"/>
              </w:rPr>
              <w:t xml:space="preserve"> cu </w:t>
            </w:r>
            <w:r>
              <w:rPr>
                <w:rFonts w:ascii="Gentium" w:hAnsi="Gentium" w:eastAsia="Arial-Italic-Bold"/>
                <w:b/>
                <w:color w:val="000000"/>
                <w:sz w:val="22"/>
                <w:szCs w:val="22"/>
                <w:lang w:val="en-US" w:eastAsia="zh-CN"/>
              </w:rPr>
              <w:t xml:space="preserve">tinerii</w:t>
            </w:r>
            <w:r>
              <w:rPr>
                <w:rFonts w:ascii="Gentium" w:hAnsi="Gentium" w:eastAsia="Arial-Italic-Bold"/>
                <w:b/>
                <w:color w:val="00000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ascii="Gentium" w:hAnsi="Gentium" w:eastAsia="Liberation Sans-Italic-Bold"/>
                <w:b/>
                <w:color w:val="000000"/>
                <w:sz w:val="22"/>
                <w:szCs w:val="22"/>
                <w:lang w:val="en-US" w:eastAsia="zh-CN"/>
              </w:rPr>
              <w:t xml:space="preserve">ș</w:t>
            </w:r>
            <w:r>
              <w:rPr>
                <w:rFonts w:ascii="Gentium" w:hAnsi="Gentium" w:eastAsia="Arial-Italic-Bold"/>
                <w:b/>
                <w:color w:val="000000"/>
                <w:sz w:val="22"/>
                <w:szCs w:val="22"/>
                <w:lang w:val="en-US" w:eastAsia="zh-CN"/>
              </w:rPr>
              <w:t xml:space="preserve">i</w:t>
            </w:r>
            <w:r>
              <w:rPr>
                <w:rFonts w:ascii="Gentium" w:hAnsi="Gentium" w:eastAsia="Arial-Italic-Bold"/>
                <w:b/>
                <w:color w:val="00000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ascii="Gentium" w:hAnsi="Gentium" w:eastAsia="Arial-Italic-Bold"/>
                <w:b/>
                <w:color w:val="000000"/>
                <w:sz w:val="22"/>
                <w:szCs w:val="22"/>
                <w:lang w:val="en-US" w:eastAsia="zh-CN"/>
              </w:rPr>
              <w:t xml:space="preserve">familiile</w:t>
            </w:r>
            <w:r>
              <w:rPr>
                <w:rFonts w:ascii="Gentium" w:hAnsi="Gentium" w:eastAsia="Arial-Italic-Bold"/>
                <w:b/>
                <w:color w:val="00000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ascii="Gentium" w:hAnsi="Gentium"/>
                <w:b/>
                <w:lang w:val="en-US"/>
              </w:rPr>
            </w:r>
          </w:p>
        </w:tc>
      </w:tr>
    </w:tbl>
    <w:p>
      <w:pPr>
        <w:widowControl w:val="false"/>
        <w:pBdr/>
        <w:spacing w:after="20" w:before="20"/>
        <w:ind/>
        <w:rPr>
          <w:rFonts w:ascii="Gentium" w:hAnsi="Gentium"/>
          <w:sz w:val="16"/>
          <w:szCs w:val="16"/>
        </w:rPr>
      </w:pPr>
      <w:r>
        <w:rPr>
          <w:rFonts w:ascii="Gentium" w:hAnsi="Gentium"/>
          <w:sz w:val="16"/>
          <w:szCs w:val="16"/>
        </w:rPr>
      </w:r>
      <w:r>
        <w:rPr>
          <w:rFonts w:ascii="Gentium" w:hAnsi="Gentium"/>
          <w:sz w:val="16"/>
          <w:szCs w:val="16"/>
        </w:rPr>
      </w:r>
    </w:p>
    <w:p>
      <w:pPr>
        <w:widowControl w:val="false"/>
        <w:numPr>
          <w:ilvl w:val="0"/>
          <w:numId w:val="10"/>
        </w:numPr>
        <w:pBdr/>
        <w:spacing w:after="20" w:before="20"/>
        <w:ind/>
        <w:rPr>
          <w:rFonts w:ascii="Gentium" w:hAnsi="Gentium"/>
          <w:b/>
        </w:rPr>
      </w:pPr>
      <w:r>
        <w:rPr>
          <w:rFonts w:ascii="Gentium" w:hAnsi="Gentium"/>
          <w:b/>
        </w:rPr>
        <w:t xml:space="preserve">Date despre disciplină</w:t>
      </w:r>
      <w:r>
        <w:rPr>
          <w:rFonts w:ascii="Gentium" w:hAnsi="Gentium"/>
          <w:b/>
        </w:rPr>
      </w:r>
    </w:p>
    <w:tbl>
      <w:tblPr>
        <w:tblW w:w="5000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1902"/>
        <w:gridCol w:w="535"/>
        <w:gridCol w:w="219"/>
        <w:gridCol w:w="1490"/>
        <w:gridCol w:w="803"/>
        <w:gridCol w:w="1683"/>
        <w:gridCol w:w="1273"/>
        <w:gridCol w:w="708"/>
        <w:gridCol w:w="8"/>
        <w:gridCol w:w="1517"/>
      </w:tblGrid>
      <w:tr>
        <w:trPr/>
        <w:tc>
          <w:tcPr>
            <w:gridSpan w:val="3"/>
            <w:shd w:val="clear" w:color="ffffff" w:fill="ffffff"/>
            <w:tcBorders/>
            <w:tcW w:w="1310" w:type="pct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2.1. Denumirea disciplinei</w:t>
            </w:r>
            <w:r>
              <w:rPr>
                <w:rFonts w:ascii="Gentium" w:hAnsi="Gentium"/>
              </w:rPr>
            </w:r>
          </w:p>
        </w:tc>
        <w:tc>
          <w:tcPr>
            <w:gridSpan w:val="3"/>
            <w:shd w:val="clear" w:color="ffffff" w:fill="d9d9d9"/>
            <w:tcBorders/>
            <w:tcW w:w="1961" w:type="pct"/>
          </w:tcPr>
          <w:p>
            <w:pPr>
              <w:pStyle w:val="1059"/>
              <w:pBdr/>
              <w:spacing/>
              <w:ind/>
              <w:jc w:val="center"/>
              <w:rPr>
                <w:rFonts w:ascii="Gentium" w:hAnsi="Gentium" w:cs="Times New Roman"/>
                <w:b/>
                <w:color w:val="auto"/>
                <w:sz w:val="22"/>
                <w:szCs w:val="22"/>
                <w:lang w:val="ro-RO"/>
              </w:rPr>
            </w:pPr>
            <w:r>
              <w:rPr>
                <w:rFonts w:ascii="Gentium" w:hAnsi="Gentium"/>
                <w:sz w:val="22"/>
                <w:szCs w:val="22"/>
                <w:lang w:val="ro-RO" w:bidi="he-IL"/>
              </w:rPr>
              <w:t xml:space="preserve">Cultură, Comunitate, </w:t>
            </w:r>
            <w:r>
              <w:rPr>
                <w:rFonts w:ascii="Gentium" w:hAnsi="Gentium"/>
                <w:sz w:val="22"/>
                <w:szCs w:val="22"/>
                <w:lang w:val="ro-RO" w:bidi="he-IL"/>
              </w:rPr>
              <w:t xml:space="preserve">Comunicare</w:t>
            </w:r>
            <w:r>
              <w:rPr>
                <w:rFonts w:ascii="Gentium" w:hAnsi="Gentium" w:cs="Times New Roman"/>
                <w:b/>
                <w:color w:val="auto"/>
                <w:sz w:val="22"/>
                <w:szCs w:val="22"/>
                <w:lang w:val="ro-RO"/>
              </w:rPr>
            </w:r>
          </w:p>
        </w:tc>
        <w:tc>
          <w:tcPr>
            <w:gridSpan w:val="3"/>
            <w:shd w:val="clear" w:color="ffffff" w:fill="ffffff"/>
            <w:tcBorders/>
            <w:tcW w:w="981" w:type="pct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2.2. Cod disciplină</w:t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d9d9d9"/>
            <w:tcBorders/>
            <w:tcW w:w="748" w:type="pct"/>
          </w:tcPr>
          <w:p>
            <w:pPr>
              <w:pStyle w:val="1059"/>
              <w:pBdr/>
              <w:spacing/>
              <w:ind/>
              <w:rPr>
                <w:rFonts w:ascii="Gentium" w:hAnsi="Gentium" w:cs="Times New Roman"/>
                <w:b/>
                <w:color w:val="auto"/>
                <w:sz w:val="22"/>
                <w:szCs w:val="22"/>
                <w:lang w:eastAsia="ro-RO"/>
              </w:rPr>
            </w:pPr>
            <w:r>
              <w:rPr>
                <w:rFonts w:ascii="Gentium" w:hAnsi="Gentium" w:cs="Times New Roman"/>
                <w:b/>
                <w:color w:val="auto"/>
                <w:sz w:val="22"/>
                <w:szCs w:val="22"/>
                <w:lang w:val="ro-RO" w:eastAsia="ro-RO"/>
              </w:rPr>
              <w:t xml:space="preserve">M</w:t>
            </w:r>
            <w:r>
              <w:rPr>
                <w:rFonts w:ascii="Gentium" w:hAnsi="Gentium" w:cs="Times New Roman"/>
                <w:b/>
                <w:color w:val="auto"/>
                <w:sz w:val="22"/>
                <w:szCs w:val="22"/>
              </w:rPr>
              <w:t xml:space="preserve">C</w:t>
            </w:r>
            <w:r>
              <w:rPr>
                <w:rFonts w:ascii="Gentium" w:hAnsi="Gentium" w:cs="Times New Roman"/>
                <w:b/>
                <w:color w:val="auto"/>
                <w:sz w:val="22"/>
                <w:szCs w:val="22"/>
              </w:rPr>
              <w:t xml:space="preserve">CC0201</w:t>
            </w:r>
            <w:r>
              <w:rPr>
                <w:rFonts w:ascii="Gentium" w:hAnsi="Gentium" w:cs="Times New Roman"/>
                <w:b/>
                <w:color w:val="auto"/>
                <w:sz w:val="22"/>
                <w:szCs w:val="22"/>
                <w:lang w:eastAsia="ro-RO"/>
              </w:rPr>
            </w:r>
          </w:p>
          <w:p>
            <w:pPr>
              <w:pStyle w:val="1059"/>
              <w:pBdr/>
              <w:spacing/>
              <w:ind/>
              <w:rPr>
                <w:rFonts w:ascii="Gentium" w:hAnsi="Gentium" w:cs="Times New Roman"/>
                <w:b/>
                <w:color w:val="auto"/>
                <w:sz w:val="22"/>
                <w:szCs w:val="22"/>
                <w:lang w:eastAsia="ro-RO"/>
              </w:rPr>
            </w:pPr>
            <w:r>
              <w:rPr>
                <w:rFonts w:ascii="Gentium" w:hAnsi="Gentium" w:cs="Times New Roman"/>
                <w:b/>
                <w:color w:val="auto"/>
                <w:sz w:val="22"/>
                <w:szCs w:val="22"/>
                <w:lang w:eastAsia="ro-RO"/>
              </w:rPr>
              <w:t xml:space="preserve">M+cod+an+s</w:t>
            </w:r>
            <w:r>
              <w:rPr>
                <w:rFonts w:ascii="Gentium" w:hAnsi="Gentium" w:cs="Times New Roman"/>
                <w:b/>
                <w:color w:val="auto"/>
                <w:sz w:val="22"/>
                <w:szCs w:val="22"/>
                <w:lang w:eastAsia="ro-RO"/>
              </w:rPr>
            </w:r>
          </w:p>
        </w:tc>
      </w:tr>
      <w:tr>
        <w:trPr/>
        <w:tc>
          <w:tcPr>
            <w:gridSpan w:val="4"/>
            <w:shd w:val="clear" w:color="ffffff" w:fill="ffffff"/>
            <w:tcBorders/>
            <w:tcW w:w="2045" w:type="pct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2.3. Titularul de curs</w:t>
            </w:r>
            <w:r>
              <w:rPr>
                <w:rFonts w:ascii="Gentium" w:hAnsi="Gentium"/>
              </w:rPr>
            </w:r>
          </w:p>
        </w:tc>
        <w:tc>
          <w:tcPr>
            <w:gridSpan w:val="6"/>
            <w:shd w:val="clear" w:color="ffffff" w:fill="ffffff"/>
            <w:tcBorders/>
            <w:tcW w:w="2955" w:type="pct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  <w:b/>
                <w:lang w:val="en-US"/>
              </w:rPr>
            </w:pPr>
            <w:r>
              <w:rPr>
                <w:rFonts w:ascii="Gentium" w:hAnsi="Gentium"/>
                <w:b/>
              </w:rPr>
              <w:t xml:space="preserve"> </w:t>
            </w:r>
            <w:r>
              <w:rPr>
                <w:rFonts w:ascii="Gentium" w:hAnsi="Gentium"/>
                <w:b/>
                <w:lang w:val="en-US"/>
              </w:rPr>
              <w:t xml:space="preserve">C</w:t>
            </w:r>
            <w:r>
              <w:rPr>
                <w:rFonts w:ascii="Gentium" w:hAnsi="Gentium"/>
                <w:b/>
              </w:rPr>
              <w:t xml:space="preserve">onf. dr. </w:t>
            </w:r>
            <w:r>
              <w:rPr>
                <w:rFonts w:ascii="Gentium" w:hAnsi="Gentium"/>
                <w:b/>
                <w:lang w:val="en-US"/>
              </w:rPr>
              <w:t xml:space="preserve">Baban</w:t>
            </w:r>
            <w:r>
              <w:rPr>
                <w:rFonts w:ascii="Gentium" w:hAnsi="Gentium"/>
                <w:b/>
                <w:lang w:val="en-US"/>
              </w:rPr>
              <w:t xml:space="preserve"> Octavian</w:t>
            </w:r>
            <w:r>
              <w:rPr>
                <w:rFonts w:ascii="Gentium" w:hAnsi="Gentium"/>
                <w:b/>
                <w:lang w:val="en-US"/>
              </w:rPr>
            </w:r>
          </w:p>
        </w:tc>
      </w:tr>
      <w:tr>
        <w:trPr/>
        <w:tc>
          <w:tcPr>
            <w:gridSpan w:val="4"/>
            <w:shd w:val="clear" w:color="ffffff" w:fill="ffffff"/>
            <w:tcBorders/>
            <w:tcW w:w="2045" w:type="pct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2.4. Titularul de seminar</w:t>
            </w:r>
            <w:r>
              <w:rPr>
                <w:rFonts w:ascii="Gentium" w:hAnsi="Gentium"/>
              </w:rPr>
            </w:r>
          </w:p>
        </w:tc>
        <w:tc>
          <w:tcPr>
            <w:gridSpan w:val="6"/>
            <w:shd w:val="clear" w:color="ffffff" w:fill="ffffff"/>
            <w:tcBorders/>
            <w:tcW w:w="2955" w:type="pct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</w:rPr>
            </w:pPr>
            <w:r>
              <w:rPr>
                <w:rFonts w:ascii="Gentium" w:hAnsi="Gentium"/>
                <w:b/>
              </w:rPr>
              <w:t xml:space="preserve"> </w:t>
            </w:r>
            <w:r>
              <w:rPr>
                <w:rFonts w:ascii="Gentium" w:hAnsi="Gentium"/>
                <w:b/>
                <w:lang w:val="en-US"/>
              </w:rPr>
              <w:t xml:space="preserve">Conf. dr. </w:t>
            </w:r>
            <w:r>
              <w:rPr>
                <w:rFonts w:ascii="Gentium" w:hAnsi="Gentium"/>
                <w:b/>
                <w:lang w:val="en-US"/>
              </w:rPr>
              <w:t xml:space="preserve">Baban</w:t>
            </w:r>
            <w:r>
              <w:rPr>
                <w:rFonts w:ascii="Gentium" w:hAnsi="Gentium"/>
                <w:b/>
                <w:lang w:val="en-US"/>
              </w:rPr>
              <w:t xml:space="preserve"> Octavian</w:t>
            </w:r>
            <w:r>
              <w:rPr>
                <w:rFonts w:ascii="Gentium" w:hAnsi="Gentium"/>
              </w:rPr>
            </w:r>
          </w:p>
        </w:tc>
      </w:tr>
      <w:tr>
        <w:trPr/>
        <w:tc>
          <w:tcPr>
            <w:shd w:val="clear" w:color="ffffff" w:fill="ffffff"/>
            <w:tcBorders/>
            <w:tcW w:w="938" w:type="pct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2.5. Anul de studiu</w:t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d9d9d9"/>
            <w:tcBorders/>
            <w:tcW w:w="264" w:type="pct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  <w:b/>
                <w:lang w:val="en-US"/>
              </w:rPr>
            </w:pPr>
            <w:r>
              <w:rPr>
                <w:rFonts w:ascii="Gentium" w:hAnsi="Gentium"/>
                <w:b/>
                <w:lang w:val="en-US"/>
              </w:rPr>
              <w:t xml:space="preserve">I</w:t>
            </w:r>
            <w:r>
              <w:rPr>
                <w:rFonts w:ascii="Gentium" w:hAnsi="Gentium"/>
                <w:b/>
                <w:lang w:val="en-US"/>
              </w:rPr>
            </w:r>
          </w:p>
        </w:tc>
        <w:tc>
          <w:tcPr>
            <w:gridSpan w:val="2"/>
            <w:shd w:val="clear" w:color="ffffff" w:fill="ffffff"/>
            <w:tcBorders/>
            <w:tcW w:w="843" w:type="pct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2.6. Semestrul</w:t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d9d9d9"/>
            <w:tcBorders/>
            <w:tcW w:w="396" w:type="pct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  <w:b/>
                <w:lang w:val="en-US"/>
              </w:rPr>
            </w:pPr>
            <w:r>
              <w:rPr>
                <w:rFonts w:ascii="Gentium" w:hAnsi="Gentium"/>
                <w:b/>
                <w:lang w:val="en-US"/>
              </w:rPr>
              <w:t xml:space="preserve">2</w:t>
            </w:r>
            <w:r>
              <w:rPr>
                <w:rFonts w:ascii="Gentium" w:hAnsi="Gentium"/>
                <w:b/>
                <w:lang w:val="en-US"/>
              </w:rPr>
            </w:r>
          </w:p>
        </w:tc>
        <w:tc>
          <w:tcPr>
            <w:gridSpan w:val="2"/>
            <w:shd w:val="clear" w:color="ffffff" w:fill="ffffff"/>
            <w:tcBorders/>
            <w:tcW w:w="1458" w:type="pct"/>
          </w:tcPr>
          <w:p>
            <w:pPr>
              <w:widowControl w:val="false"/>
              <w:pBdr/>
              <w:spacing w:after="20" w:before="20"/>
              <w:ind w:right="-107"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2.7. Tipul de evaluare (E/C/VP)</w:t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d9d9d9"/>
            <w:tcBorders/>
            <w:tcW w:w="349" w:type="pct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  <w:b/>
              </w:rPr>
            </w:pPr>
            <w:r>
              <w:rPr>
                <w:rFonts w:ascii="Gentium" w:hAnsi="Gentium"/>
                <w:b/>
                <w:lang w:val="en-US"/>
              </w:rPr>
              <w:t xml:space="preserve">E</w:t>
            </w:r>
            <w:r>
              <w:rPr>
                <w:rFonts w:ascii="Gentium" w:hAnsi="Gentium"/>
                <w:b/>
              </w:rPr>
            </w:r>
          </w:p>
        </w:tc>
        <w:tc>
          <w:tcPr>
            <w:gridSpan w:val="2"/>
            <w:shd w:val="clear" w:color="ffffff" w:fill="ffffff"/>
            <w:tcBorders/>
            <w:tcW w:w="752" w:type="pct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  <w:b/>
              </w:rPr>
            </w:pPr>
            <w:r>
              <w:rPr>
                <w:rFonts w:ascii="Gentium" w:hAnsi="Gentium"/>
                <w:b/>
              </w:rPr>
            </w:r>
            <w:r>
              <w:rPr>
                <w:rFonts w:ascii="Gentium" w:hAnsi="Gentium"/>
                <w:b/>
              </w:rPr>
            </w:r>
          </w:p>
        </w:tc>
      </w:tr>
    </w:tbl>
    <w:p>
      <w:pPr>
        <w:widowControl w:val="false"/>
        <w:pBdr/>
        <w:spacing w:after="20" w:before="20"/>
        <w:ind/>
        <w:rPr>
          <w:rFonts w:ascii="Gentium" w:hAnsi="Gentium"/>
          <w:sz w:val="16"/>
          <w:szCs w:val="16"/>
        </w:rPr>
      </w:pPr>
      <w:r>
        <w:rPr>
          <w:rFonts w:ascii="Gentium" w:hAnsi="Gentium"/>
          <w:sz w:val="16"/>
          <w:szCs w:val="16"/>
        </w:rPr>
      </w:r>
      <w:r>
        <w:rPr>
          <w:rFonts w:ascii="Gentium" w:hAnsi="Gentium"/>
          <w:sz w:val="16"/>
          <w:szCs w:val="16"/>
        </w:rPr>
      </w:r>
    </w:p>
    <w:p>
      <w:pPr>
        <w:widowControl w:val="false"/>
        <w:numPr>
          <w:ilvl w:val="0"/>
          <w:numId w:val="10"/>
        </w:numPr>
        <w:pBdr/>
        <w:spacing w:after="20" w:before="20"/>
        <w:ind/>
        <w:rPr>
          <w:rFonts w:ascii="Gentium" w:hAnsi="Gentium"/>
          <w:b/>
        </w:rPr>
      </w:pPr>
      <w:r>
        <w:rPr>
          <w:rFonts w:ascii="Gentium" w:hAnsi="Gentium"/>
          <w:b/>
        </w:rPr>
        <w:t xml:space="preserve">Timpul total estimat</w:t>
      </w:r>
      <w:r>
        <w:rPr>
          <w:rFonts w:ascii="Gentium" w:hAnsi="Gentium"/>
          <w:b/>
        </w:rPr>
      </w:r>
    </w:p>
    <w:tbl>
      <w:tblPr>
        <w:tblW w:w="5000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212"/>
        <w:gridCol w:w="1117"/>
        <w:gridCol w:w="977"/>
        <w:gridCol w:w="1140"/>
        <w:gridCol w:w="1006"/>
        <w:gridCol w:w="1190"/>
        <w:gridCol w:w="1255"/>
        <w:gridCol w:w="1241"/>
      </w:tblGrid>
      <w:tr>
        <w:trPr/>
        <w:tc>
          <w:tcPr>
            <w:shd w:val="clear" w:color="ffffff" w:fill="ffffff"/>
            <w:tcBorders>
              <w:bottom w:val="single" w:color="000000" w:sz="4" w:space="0"/>
            </w:tcBorders>
            <w:tcW w:w="1091" w:type="pct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3.1. Numar ore pe saptamana</w:t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551" w:type="pct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  <w:lang w:val="en-US"/>
              </w:rPr>
            </w:pPr>
            <w:r>
              <w:rPr>
                <w:rFonts w:ascii="Gentium" w:hAnsi="Gentium"/>
                <w:lang w:val="en-US"/>
              </w:rPr>
              <w:t xml:space="preserve">3</w:t>
            </w:r>
            <w:r>
              <w:rPr>
                <w:rFonts w:ascii="Gentium" w:hAnsi="Gentium"/>
                <w:lang w:val="en-US"/>
              </w:rPr>
            </w:r>
          </w:p>
        </w:tc>
        <w:tc>
          <w:tcPr>
            <w:gridSpan w:val="2"/>
            <w:shd w:val="clear" w:color="ffffff" w:fill="ffffff"/>
            <w:tcBorders>
              <w:bottom w:val="single" w:color="000000" w:sz="4" w:space="0"/>
            </w:tcBorders>
            <w:tcW w:w="1044" w:type="pct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din care: 3.2. curs</w:t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d9d9d9"/>
            <w:tcBorders>
              <w:bottom w:val="single" w:color="000000" w:sz="4" w:space="0"/>
            </w:tcBorders>
            <w:tcW w:w="496" w:type="pct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  <w:b/>
                <w:lang w:val="en-US"/>
              </w:rPr>
            </w:pPr>
            <w:r>
              <w:rPr>
                <w:rFonts w:ascii="Gentium" w:hAnsi="Gentium"/>
                <w:b/>
                <w:lang w:val="en-US"/>
              </w:rPr>
              <w:t xml:space="preserve">2</w:t>
            </w:r>
            <w:r>
              <w:rPr>
                <w:rFonts w:ascii="Gentium" w:hAnsi="Gentium"/>
                <w:b/>
                <w:lang w:val="en-US"/>
              </w:rPr>
            </w:r>
          </w:p>
        </w:tc>
        <w:tc>
          <w:tcPr>
            <w:gridSpan w:val="2"/>
            <w:shd w:val="clear" w:color="ffffff" w:fill="ffffff"/>
            <w:tcBorders>
              <w:bottom w:val="single" w:color="000000" w:sz="4" w:space="0"/>
            </w:tcBorders>
            <w:tcW w:w="1206" w:type="pct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3.3. seminar/laborator</w:t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d9d9d9"/>
            <w:tcBorders>
              <w:bottom w:val="single" w:color="000000" w:sz="4" w:space="0"/>
            </w:tcBorders>
            <w:tcW w:w="612" w:type="pct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  <w:b/>
              </w:rPr>
            </w:pPr>
            <w:r>
              <w:rPr>
                <w:rFonts w:ascii="Gentium" w:hAnsi="Gentium"/>
                <w:b/>
              </w:rPr>
              <w:t xml:space="preserve">1</w:t>
            </w:r>
            <w:r>
              <w:rPr>
                <w:rFonts w:ascii="Gentium" w:hAnsi="Gentium"/>
                <w:b/>
              </w:rPr>
            </w:r>
          </w:p>
        </w:tc>
      </w:tr>
      <w:tr>
        <w:trPr/>
        <w:tc>
          <w:tcPr>
            <w:shd w:val="clear" w:color="ffffff" w:fill="ffffff"/>
            <w:tcBorders/>
            <w:tcW w:w="1091" w:type="pct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3.4. Total ore din planul de învăţămînt</w:t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ffffff"/>
            <w:tcBorders/>
            <w:tcW w:w="551" w:type="pct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  <w:b/>
                <w:lang w:val="en-US"/>
              </w:rPr>
            </w:pPr>
            <w:r>
              <w:rPr>
                <w:rFonts w:ascii="Gentium" w:hAnsi="Gentium"/>
                <w:b/>
                <w:lang w:val="en-US"/>
              </w:rPr>
              <w:t xml:space="preserve">42</w:t>
            </w:r>
            <w:r>
              <w:rPr>
                <w:rFonts w:ascii="Gentium" w:hAnsi="Gentium"/>
                <w:b/>
                <w:lang w:val="en-US"/>
              </w:rPr>
            </w:r>
          </w:p>
        </w:tc>
        <w:tc>
          <w:tcPr>
            <w:gridSpan w:val="2"/>
            <w:shd w:val="clear" w:color="ffffff" w:fill="ffffff"/>
            <w:tcBorders/>
            <w:tcW w:w="1044" w:type="pct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din care: 3.5. curs</w:t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ffffff"/>
            <w:tcBorders/>
            <w:tcW w:w="496" w:type="pct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  <w:b/>
                <w:lang w:val="en-US"/>
              </w:rPr>
            </w:pPr>
            <w:r>
              <w:rPr>
                <w:rFonts w:ascii="Gentium" w:hAnsi="Gentium"/>
                <w:b/>
                <w:lang w:val="en-US"/>
              </w:rPr>
              <w:t xml:space="preserve">28</w:t>
            </w:r>
            <w:r>
              <w:rPr>
                <w:rFonts w:ascii="Gentium" w:hAnsi="Gentium"/>
                <w:b/>
                <w:lang w:val="en-US"/>
              </w:rPr>
            </w:r>
          </w:p>
        </w:tc>
        <w:tc>
          <w:tcPr>
            <w:gridSpan w:val="2"/>
            <w:shd w:val="clear" w:color="ffffff" w:fill="ffffff"/>
            <w:tcBorders/>
            <w:tcW w:w="1206" w:type="pct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3.6. seminar/laborator</w:t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ffffff"/>
            <w:tcBorders/>
            <w:tcW w:w="612" w:type="pct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  <w:b/>
              </w:rPr>
            </w:pPr>
            <w:r>
              <w:rPr>
                <w:rFonts w:ascii="Gentium" w:hAnsi="Gentium"/>
                <w:b/>
              </w:rPr>
              <w:t xml:space="preserve">14</w:t>
            </w:r>
            <w:r>
              <w:rPr>
                <w:rFonts w:ascii="Gentium" w:hAnsi="Gentium"/>
                <w:b/>
              </w:rPr>
            </w:r>
          </w:p>
        </w:tc>
      </w:tr>
      <w:tr>
        <w:trPr/>
        <w:tc>
          <w:tcPr>
            <w:gridSpan w:val="7"/>
            <w:shd w:val="clear" w:color="ffffff" w:fill="ffffff"/>
            <w:tcBorders/>
            <w:tcW w:w="4388" w:type="pct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Distribuţia fondului de timp de studiu individual</w:t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ffffff"/>
            <w:tcBorders/>
            <w:tcW w:w="612" w:type="pct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ore</w:t>
            </w:r>
            <w:r>
              <w:rPr>
                <w:rFonts w:ascii="Gentium" w:hAnsi="Gentium"/>
              </w:rPr>
            </w:r>
          </w:p>
        </w:tc>
      </w:tr>
      <w:tr>
        <w:trPr/>
        <w:tc>
          <w:tcPr>
            <w:gridSpan w:val="7"/>
            <w:shd w:val="clear" w:color="ffffff" w:fill="ffffff"/>
            <w:tcBorders/>
            <w:tcW w:w="4388" w:type="pct"/>
          </w:tcPr>
          <w:p>
            <w:pPr>
              <w:widowControl w:val="false"/>
              <w:numPr>
                <w:ilvl w:val="0"/>
                <w:numId w:val="11"/>
              </w:numPr>
              <w:pBdr/>
              <w:spacing w:after="20" w:before="20"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Studiul după manual, suport de curs, bibliografie şi notiţe</w:t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ffffff"/>
            <w:tcBorders/>
            <w:tcW w:w="612" w:type="pct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  <w:lang w:val="en-US"/>
              </w:rPr>
            </w:pPr>
            <w:r>
              <w:rPr>
                <w:rFonts w:ascii="Gentium" w:hAnsi="Gentium"/>
                <w:lang w:val="en-US"/>
              </w:rPr>
              <w:t xml:space="preserve">2</w:t>
            </w:r>
            <w:r>
              <w:rPr>
                <w:rFonts w:ascii="Gentium" w:hAnsi="Gentium"/>
                <w:lang w:val="en-US"/>
              </w:rPr>
              <w:t xml:space="preserve">3</w:t>
            </w:r>
            <w:r>
              <w:rPr>
                <w:rFonts w:ascii="Gentium" w:hAnsi="Gentium"/>
                <w:lang w:val="en-US"/>
              </w:rPr>
            </w:r>
          </w:p>
        </w:tc>
      </w:tr>
      <w:tr>
        <w:trPr/>
        <w:tc>
          <w:tcPr>
            <w:gridSpan w:val="7"/>
            <w:shd w:val="clear" w:color="ffffff" w:fill="ffffff"/>
            <w:tcBorders/>
            <w:tcW w:w="4388" w:type="pct"/>
          </w:tcPr>
          <w:p>
            <w:pPr>
              <w:widowControl w:val="false"/>
              <w:numPr>
                <w:ilvl w:val="0"/>
                <w:numId w:val="11"/>
              </w:numPr>
              <w:pBdr/>
              <w:spacing w:after="20" w:before="20"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Documentare suplimentară în bibliotecă, pe platformele electronice de specialitate şi pe teren</w:t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ffffff"/>
            <w:tcBorders/>
            <w:tcW w:w="612" w:type="pct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  <w:lang w:val="en-US"/>
              </w:rPr>
            </w:pPr>
            <w:r>
              <w:rPr>
                <w:rFonts w:ascii="Gentium" w:hAnsi="Gentium"/>
              </w:rPr>
              <w:t xml:space="preserve">30</w:t>
            </w:r>
            <w:r>
              <w:rPr>
                <w:rFonts w:ascii="Gentium" w:hAnsi="Gentium"/>
                <w:lang w:val="en-US"/>
              </w:rPr>
            </w:r>
          </w:p>
        </w:tc>
      </w:tr>
      <w:tr>
        <w:trPr/>
        <w:tc>
          <w:tcPr>
            <w:gridSpan w:val="7"/>
            <w:shd w:val="clear" w:color="ffffff" w:fill="ffffff"/>
            <w:tcBorders/>
            <w:tcW w:w="4388" w:type="pct"/>
          </w:tcPr>
          <w:p>
            <w:pPr>
              <w:widowControl w:val="false"/>
              <w:numPr>
                <w:ilvl w:val="0"/>
                <w:numId w:val="11"/>
              </w:numPr>
              <w:pBdr/>
              <w:spacing w:after="20" w:before="20"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Pregătire seminarii/laboratoare, teme, referate, portofolii şi eseuri</w:t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ffffff"/>
            <w:tcBorders/>
            <w:tcW w:w="612" w:type="pct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  <w:lang w:val="en-US"/>
              </w:rPr>
            </w:pPr>
            <w:r>
              <w:rPr>
                <w:rFonts w:ascii="Gentium" w:hAnsi="Gentium"/>
              </w:rPr>
              <w:t xml:space="preserve">2</w:t>
            </w:r>
            <w:r>
              <w:rPr>
                <w:rFonts w:ascii="Gentium" w:hAnsi="Gentium"/>
              </w:rPr>
              <w:t xml:space="preserve">3</w:t>
            </w:r>
            <w:r>
              <w:rPr>
                <w:rFonts w:ascii="Gentium" w:hAnsi="Gentium"/>
                <w:lang w:val="en-US"/>
              </w:rPr>
            </w:r>
          </w:p>
        </w:tc>
      </w:tr>
      <w:tr>
        <w:trPr/>
        <w:tc>
          <w:tcPr>
            <w:gridSpan w:val="7"/>
            <w:shd w:val="clear" w:color="ffffff" w:fill="ffffff"/>
            <w:tcBorders/>
            <w:tcW w:w="4388" w:type="pct"/>
          </w:tcPr>
          <w:p>
            <w:pPr>
              <w:widowControl w:val="false"/>
              <w:numPr>
                <w:ilvl w:val="0"/>
                <w:numId w:val="11"/>
              </w:numPr>
              <w:pBdr/>
              <w:spacing w:after="20" w:before="20"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Tutoriat</w:t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ffffff"/>
            <w:tcBorders/>
            <w:tcW w:w="612" w:type="pct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4</w:t>
            </w:r>
            <w:r>
              <w:rPr>
                <w:rFonts w:ascii="Gentium" w:hAnsi="Gentium"/>
              </w:rPr>
            </w:r>
          </w:p>
        </w:tc>
      </w:tr>
      <w:tr>
        <w:trPr/>
        <w:tc>
          <w:tcPr>
            <w:gridSpan w:val="7"/>
            <w:shd w:val="clear" w:color="ffffff" w:fill="ffffff"/>
            <w:tcBorders/>
            <w:tcW w:w="4388" w:type="pct"/>
          </w:tcPr>
          <w:p>
            <w:pPr>
              <w:widowControl w:val="false"/>
              <w:numPr>
                <w:ilvl w:val="0"/>
                <w:numId w:val="11"/>
              </w:numPr>
              <w:pBdr/>
              <w:spacing w:after="20" w:before="20"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Examinări</w:t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ffffff"/>
            <w:tcBorders/>
            <w:tcW w:w="612" w:type="pct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3</w:t>
            </w:r>
            <w:r>
              <w:rPr>
                <w:rFonts w:ascii="Gentium" w:hAnsi="Gentium"/>
              </w:rPr>
            </w:r>
          </w:p>
        </w:tc>
      </w:tr>
      <w:tr>
        <w:trPr/>
        <w:tc>
          <w:tcPr>
            <w:gridSpan w:val="7"/>
            <w:shd w:val="clear" w:color="ffffff" w:fill="ffffff"/>
            <w:tcBorders/>
            <w:tcW w:w="4388" w:type="pct"/>
          </w:tcPr>
          <w:p>
            <w:pPr>
              <w:widowControl w:val="false"/>
              <w:numPr>
                <w:ilvl w:val="0"/>
                <w:numId w:val="11"/>
              </w:numPr>
              <w:pBdr/>
              <w:spacing w:after="20" w:before="20"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Alte activităţi (exersări practice)</w:t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ffffff"/>
            <w:tcBorders/>
            <w:tcW w:w="612" w:type="pct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  <w:lang w:val="en-US"/>
              </w:rPr>
            </w:pPr>
            <w:r>
              <w:rPr>
                <w:rFonts w:ascii="Gentium" w:hAnsi="Gentium"/>
                <w:lang w:val="en-US"/>
              </w:rPr>
              <w:t xml:space="preserve">-</w:t>
            </w:r>
            <w:r>
              <w:rPr>
                <w:rFonts w:ascii="Gentium" w:hAnsi="Gentium"/>
                <w:lang w:val="en-US"/>
              </w:rPr>
            </w:r>
          </w:p>
        </w:tc>
      </w:tr>
      <w:tr>
        <w:trPr/>
        <w:tc>
          <w:tcPr>
            <w:gridSpan w:val="7"/>
            <w:shd w:val="clear" w:color="ffffff" w:fill="ffffff"/>
            <w:tcBorders/>
            <w:tcW w:w="4388" w:type="pct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Total ore  activităţi individuale</w:t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ffffff"/>
            <w:tcBorders/>
            <w:tcW w:w="612" w:type="pct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  <w:b/>
                <w:lang w:val="en-US"/>
              </w:rPr>
            </w:pPr>
            <w:r>
              <w:rPr>
                <w:rFonts w:ascii="Gentium" w:hAnsi="Gentium"/>
                <w:b/>
                <w:lang w:val="en-US"/>
              </w:rPr>
            </w:r>
            <w:r>
              <w:rPr>
                <w:rFonts w:ascii="Gentium" w:hAnsi="Gentium"/>
                <w:b/>
                <w:lang w:val="en-US"/>
              </w:rPr>
            </w:r>
          </w:p>
        </w:tc>
      </w:tr>
      <w:tr>
        <w:trPr>
          <w:gridAfter w:val="2"/>
        </w:trPr>
        <w:tc>
          <w:tcPr>
            <w:gridSpan w:val="3"/>
            <w:shd w:val="clear" w:color="ffffff" w:fill="ffffff"/>
            <w:tcBorders/>
            <w:tcW w:w="2124" w:type="pct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3.7 Total ore studiu individual</w:t>
            </w:r>
            <w:r>
              <w:rPr>
                <w:rFonts w:ascii="Gentium" w:hAnsi="Gentium"/>
              </w:rPr>
            </w:r>
          </w:p>
        </w:tc>
        <w:tc>
          <w:tcPr>
            <w:gridSpan w:val="3"/>
            <w:shd w:val="clear" w:color="ffffff" w:fill="ffffff"/>
            <w:tcBorders/>
            <w:tcW w:w="1645" w:type="pct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  <w:lang w:val="en-US"/>
              </w:rPr>
            </w:pPr>
            <w:r>
              <w:rPr>
                <w:rFonts w:ascii="Gentium" w:hAnsi="Gentium"/>
                <w:lang w:val="en-US"/>
              </w:rPr>
              <w:t xml:space="preserve">83</w:t>
            </w:r>
            <w:r>
              <w:rPr>
                <w:rFonts w:ascii="Gentium" w:hAnsi="Gentium"/>
                <w:lang w:val="en-US"/>
              </w:rPr>
            </w:r>
          </w:p>
        </w:tc>
      </w:tr>
      <w:tr>
        <w:trPr>
          <w:gridAfter w:val="2"/>
        </w:trPr>
        <w:tc>
          <w:tcPr>
            <w:gridSpan w:val="3"/>
            <w:shd w:val="clear" w:color="ffffff" w:fill="ffffff"/>
            <w:tcBorders/>
            <w:tcW w:w="2124" w:type="pct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3.8 Total ore din planul de învăţământ</w:t>
            </w:r>
            <w:r>
              <w:rPr>
                <w:rFonts w:ascii="Gentium" w:hAnsi="Gentium"/>
              </w:rPr>
            </w:r>
          </w:p>
        </w:tc>
        <w:tc>
          <w:tcPr>
            <w:gridSpan w:val="3"/>
            <w:shd w:val="clear" w:color="ffffff" w:fill="ffffff"/>
            <w:tcBorders/>
            <w:tcW w:w="1645" w:type="pct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  <w:lang w:val="en-US"/>
              </w:rPr>
            </w:pPr>
            <w:r>
              <w:rPr>
                <w:rFonts w:ascii="Gentium" w:hAnsi="Gentium"/>
                <w:lang w:val="en-US"/>
              </w:rPr>
              <w:t xml:space="preserve">42</w:t>
            </w:r>
            <w:r>
              <w:rPr>
                <w:rFonts w:ascii="Gentium" w:hAnsi="Gentium"/>
                <w:lang w:val="en-US"/>
              </w:rPr>
            </w:r>
          </w:p>
        </w:tc>
      </w:tr>
      <w:tr>
        <w:trPr>
          <w:gridAfter w:val="2"/>
        </w:trPr>
        <w:tc>
          <w:tcPr>
            <w:gridSpan w:val="3"/>
            <w:shd w:val="clear" w:color="ffffff" w:fill="ffffff"/>
            <w:tcBorders/>
            <w:tcW w:w="2124" w:type="pct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3.9 Total ore pe semestru</w:t>
            </w:r>
            <w:r>
              <w:rPr>
                <w:rFonts w:ascii="Gentium" w:hAnsi="Gentium"/>
              </w:rPr>
            </w:r>
          </w:p>
        </w:tc>
        <w:tc>
          <w:tcPr>
            <w:gridSpan w:val="3"/>
            <w:shd w:val="clear" w:color="ffffff" w:fill="ffffff"/>
            <w:tcBorders/>
            <w:tcW w:w="1645" w:type="pct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  <w:b/>
                <w:lang w:val="en-US"/>
              </w:rPr>
            </w:pPr>
            <w:r>
              <w:rPr>
                <w:rFonts w:ascii="Gentium" w:hAnsi="Gentium"/>
                <w:b/>
              </w:rPr>
              <w:t xml:space="preserve">1</w:t>
            </w:r>
            <w:r>
              <w:rPr>
                <w:rFonts w:ascii="Gentium" w:hAnsi="Gentium"/>
                <w:b/>
                <w:lang w:val="en-US"/>
              </w:rPr>
              <w:t xml:space="preserve">25</w:t>
            </w:r>
            <w:r>
              <w:rPr>
                <w:rFonts w:ascii="Gentium" w:hAnsi="Gentium"/>
                <w:b/>
                <w:lang w:val="en-US"/>
              </w:rPr>
            </w:r>
          </w:p>
        </w:tc>
      </w:tr>
      <w:tr>
        <w:trPr>
          <w:gridAfter w:val="2"/>
          <w:trHeight w:val="95"/>
        </w:trPr>
        <w:tc>
          <w:tcPr>
            <w:gridSpan w:val="3"/>
            <w:shd w:val="clear" w:color="ffffff" w:fill="ffffff"/>
            <w:tcBorders/>
            <w:tcW w:w="2124" w:type="pct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3.10 Numărul de credite</w:t>
            </w:r>
            <w:r>
              <w:rPr>
                <w:rFonts w:ascii="Gentium" w:hAnsi="Gentium"/>
              </w:rPr>
            </w:r>
          </w:p>
        </w:tc>
        <w:tc>
          <w:tcPr>
            <w:gridSpan w:val="3"/>
            <w:shd w:val="clear" w:color="ffffff" w:fill="f2f2f2"/>
            <w:tcBorders/>
            <w:tcW w:w="1645" w:type="pct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  <w:b/>
              </w:rPr>
            </w:pPr>
            <w:r>
              <w:rPr>
                <w:rFonts w:ascii="Gentium" w:hAnsi="Gentium"/>
                <w:b/>
              </w:rPr>
              <w:t xml:space="preserve">5</w:t>
            </w:r>
            <w:r>
              <w:rPr>
                <w:rFonts w:ascii="Gentium" w:hAnsi="Gentium"/>
                <w:b/>
              </w:rPr>
            </w:r>
          </w:p>
        </w:tc>
      </w:tr>
    </w:tbl>
    <w:p>
      <w:pPr>
        <w:widowControl w:val="false"/>
        <w:pBdr/>
        <w:spacing/>
        <w:ind/>
        <w:rPr>
          <w:rFonts w:ascii="Gentium" w:hAnsi="Gentium"/>
          <w:sz w:val="16"/>
          <w:szCs w:val="16"/>
        </w:rPr>
      </w:pPr>
      <w:r>
        <w:rPr>
          <w:rFonts w:ascii="Gentium" w:hAnsi="Gentium"/>
          <w:sz w:val="16"/>
          <w:szCs w:val="16"/>
        </w:rPr>
      </w:r>
      <w:r>
        <w:rPr>
          <w:rFonts w:ascii="Gentium" w:hAnsi="Gentium"/>
          <w:sz w:val="16"/>
          <w:szCs w:val="16"/>
        </w:rPr>
      </w:r>
    </w:p>
    <w:p>
      <w:pPr>
        <w:widowControl w:val="false"/>
        <w:numPr>
          <w:ilvl w:val="0"/>
          <w:numId w:val="10"/>
        </w:numPr>
        <w:pBdr/>
        <w:spacing/>
        <w:ind w:left="0"/>
        <w:rPr>
          <w:rFonts w:ascii="Gentium" w:hAnsi="Gentium"/>
        </w:rPr>
      </w:pPr>
      <w:r>
        <w:rPr>
          <w:rFonts w:ascii="Gentium" w:hAnsi="Gentium"/>
          <w:b/>
        </w:rPr>
        <w:t xml:space="preserve">Precondiţii</w:t>
      </w:r>
      <w:r>
        <w:rPr>
          <w:rFonts w:ascii="Gentium" w:hAnsi="Gentium"/>
        </w:rPr>
        <w:t xml:space="preserve"> (acolo unde este cazul)</w:t>
      </w:r>
      <w:r>
        <w:rPr>
          <w:rFonts w:ascii="Gentium" w:hAnsi="Gentium"/>
        </w:rPr>
      </w:r>
    </w:p>
    <w:tbl>
      <w:tblPr>
        <w:tblW w:w="5000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4398"/>
        <w:gridCol w:w="5740"/>
      </w:tblGrid>
      <w:tr>
        <w:trPr/>
        <w:tc>
          <w:tcPr>
            <w:shd w:val="clear" w:color="ffffff" w:fill="ffffff"/>
            <w:tcBorders/>
            <w:tcW w:w="2169" w:type="pct"/>
          </w:tcPr>
          <w:p>
            <w:pPr>
              <w:widowControl w:val="false"/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4.1. De curriculum</w:t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ffffff"/>
            <w:tcBorders/>
            <w:tcW w:w="2831" w:type="pct"/>
          </w:tcPr>
          <w:p>
            <w:pPr>
              <w:widowControl w:val="false"/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Nu este cazul</w:t>
            </w:r>
            <w:r>
              <w:rPr>
                <w:rFonts w:ascii="Gentium" w:hAnsi="Gentium"/>
              </w:rPr>
            </w:r>
          </w:p>
        </w:tc>
      </w:tr>
      <w:tr>
        <w:trPr/>
        <w:tc>
          <w:tcPr>
            <w:shd w:val="clear" w:color="ffffff" w:fill="ffffff"/>
            <w:tcBorders/>
            <w:tcW w:w="2169" w:type="pct"/>
          </w:tcPr>
          <w:p>
            <w:pPr>
              <w:widowControl w:val="false"/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4.2. De competenţe</w:t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ffffff"/>
            <w:tcBorders/>
            <w:tcW w:w="2831" w:type="pct"/>
          </w:tcPr>
          <w:p>
            <w:pPr>
              <w:widowControl w:val="false"/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Nu este cazul</w:t>
            </w:r>
            <w:r>
              <w:rPr>
                <w:rFonts w:ascii="Gentium" w:hAnsi="Gentium"/>
              </w:rPr>
            </w:r>
          </w:p>
        </w:tc>
      </w:tr>
    </w:tbl>
    <w:p>
      <w:pPr>
        <w:widowControl w:val="false"/>
        <w:pBdr/>
        <w:spacing/>
        <w:ind/>
        <w:rPr>
          <w:rFonts w:ascii="Gentium" w:hAnsi="Gentium"/>
          <w:sz w:val="16"/>
          <w:szCs w:val="16"/>
        </w:rPr>
      </w:pPr>
      <w:r>
        <w:rPr>
          <w:rFonts w:ascii="Gentium" w:hAnsi="Gentium"/>
          <w:sz w:val="16"/>
          <w:szCs w:val="16"/>
        </w:rPr>
      </w:r>
      <w:r>
        <w:rPr>
          <w:rFonts w:ascii="Gentium" w:hAnsi="Gentium"/>
          <w:sz w:val="16"/>
          <w:szCs w:val="16"/>
        </w:rPr>
      </w:r>
    </w:p>
    <w:p>
      <w:pPr>
        <w:widowControl w:val="false"/>
        <w:pBdr/>
        <w:spacing/>
        <w:ind/>
        <w:rPr>
          <w:rFonts w:ascii="Gentium" w:hAnsi="Gentium"/>
        </w:rPr>
      </w:pPr>
      <w:r>
        <w:rPr>
          <w:rFonts w:ascii="Gentium" w:hAnsi="Gentium"/>
          <w:b/>
        </w:rPr>
        <w:t xml:space="preserve">5. Condiţii</w:t>
      </w:r>
      <w:r>
        <w:rPr>
          <w:rFonts w:ascii="Gentium" w:hAnsi="Gentium"/>
        </w:rPr>
        <w:t xml:space="preserve"> (acolo unde este cazul)</w:t>
      </w:r>
      <w:r>
        <w:rPr>
          <w:rFonts w:ascii="Gentium" w:hAnsi="Gentium"/>
        </w:rPr>
      </w:r>
    </w:p>
    <w:tbl>
      <w:tblPr>
        <w:tblW w:w="5000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4398"/>
        <w:gridCol w:w="5740"/>
      </w:tblGrid>
      <w:tr>
        <w:trPr/>
        <w:tc>
          <w:tcPr>
            <w:shd w:val="clear" w:color="ffffff" w:fill="ffffff"/>
            <w:tcBorders/>
            <w:tcW w:w="2169" w:type="pct"/>
          </w:tcPr>
          <w:p>
            <w:pPr>
              <w:widowControl w:val="false"/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5.1. De desfăşurare a cursului</w:t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ffffff"/>
            <w:tcBorders/>
            <w:tcW w:w="2831" w:type="pct"/>
          </w:tcPr>
          <w:p>
            <w:pPr>
              <w:widowControl w:val="false"/>
              <w:pBdr/>
              <w:spacing/>
              <w:ind/>
              <w:rPr>
                <w:rFonts w:ascii="Gentium" w:hAnsi="Gentium"/>
                <w:i/>
              </w:rPr>
            </w:pPr>
            <w:r>
              <w:rPr>
                <w:rFonts w:ascii="Gentium" w:hAnsi="Gentium"/>
                <w:i/>
              </w:rPr>
              <w:t xml:space="preserve">Sală dotată cu tablă, videoproiector, laptop, instrumentar şi materiale pentru restaurare.</w:t>
            </w:r>
            <w:r>
              <w:rPr>
                <w:rFonts w:ascii="Gentium" w:hAnsi="Gentium"/>
                <w:i/>
              </w:rPr>
            </w:r>
          </w:p>
        </w:tc>
      </w:tr>
      <w:tr>
        <w:trPr/>
        <w:tc>
          <w:tcPr>
            <w:shd w:val="clear" w:color="ffffff" w:fill="ffffff"/>
            <w:tcBorders/>
            <w:tcW w:w="2169" w:type="pct"/>
          </w:tcPr>
          <w:p>
            <w:pPr>
              <w:widowControl w:val="false"/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5.2. De desfăşurarea a seminarului/laboratorului</w:t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ffffff"/>
            <w:tcBorders/>
            <w:tcW w:w="2831" w:type="pct"/>
          </w:tcPr>
          <w:p>
            <w:pPr>
              <w:widowControl w:val="false"/>
              <w:pBdr/>
              <w:spacing/>
              <w:ind/>
              <w:rPr>
                <w:rFonts w:ascii="Gentium" w:hAnsi="Gentium"/>
                <w:i/>
              </w:rPr>
            </w:pPr>
            <w:r>
              <w:rPr>
                <w:rFonts w:ascii="Gentium" w:hAnsi="Gentium"/>
                <w:i/>
              </w:rPr>
              <w:t xml:space="preserve">Sală dotată cu tablă, videoproiector, laptop, instrumentar şi materiale pentru restaurare.</w:t>
            </w:r>
            <w:r>
              <w:rPr>
                <w:rFonts w:ascii="Gentium" w:hAnsi="Gentium"/>
                <w:i/>
              </w:rPr>
            </w:r>
          </w:p>
        </w:tc>
      </w:tr>
    </w:tbl>
    <w:p>
      <w:pPr>
        <w:pBdr/>
        <w:spacing/>
        <w:ind w:firstLine="709"/>
        <w:rPr>
          <w:rFonts w:ascii="Gentium" w:hAnsi="Gentium"/>
          <w:sz w:val="16"/>
          <w:szCs w:val="16"/>
        </w:rPr>
      </w:pPr>
      <w:r>
        <w:rPr>
          <w:rFonts w:ascii="Gentium" w:hAnsi="Gentium"/>
          <w:sz w:val="16"/>
          <w:szCs w:val="16"/>
        </w:rPr>
      </w:r>
      <w:r>
        <w:rPr>
          <w:rFonts w:ascii="Gentium" w:hAnsi="Gentium"/>
          <w:sz w:val="16"/>
          <w:szCs w:val="16"/>
        </w:rPr>
      </w:r>
    </w:p>
    <w:p>
      <w:pPr>
        <w:pBdr/>
        <w:spacing/>
        <w:ind w:firstLine="709"/>
        <w:rPr>
          <w:rFonts w:ascii="Gentium" w:hAnsi="Gentium"/>
          <w:sz w:val="16"/>
          <w:szCs w:val="16"/>
        </w:rPr>
      </w:pPr>
      <w:r>
        <w:rPr>
          <w:rFonts w:ascii="Gentium" w:hAnsi="Gentium"/>
          <w:sz w:val="16"/>
          <w:szCs w:val="16"/>
        </w:rPr>
      </w:r>
      <w:r>
        <w:rPr>
          <w:rFonts w:ascii="Gentium" w:hAnsi="Gentium"/>
          <w:sz w:val="16"/>
          <w:szCs w:val="16"/>
        </w:rPr>
      </w:r>
    </w:p>
    <w:p>
      <w:pPr>
        <w:pBdr/>
        <w:spacing/>
        <w:ind/>
        <w:rPr>
          <w:rFonts w:ascii="Gentium" w:hAnsi="Gentium"/>
          <w:b/>
          <w:sz w:val="22"/>
          <w:szCs w:val="22"/>
        </w:rPr>
      </w:pPr>
      <w:r>
        <w:rPr>
          <w:rFonts w:ascii="Gentium" w:hAnsi="Gentium"/>
          <w:b/>
          <w:sz w:val="22"/>
          <w:szCs w:val="22"/>
        </w:rPr>
        <w:t xml:space="preserve">6. Competenţele specifice acumulate</w:t>
      </w:r>
      <w:r>
        <w:rPr>
          <w:rFonts w:ascii="Gentium" w:hAnsi="Gentium"/>
          <w:b/>
          <w:sz w:val="22"/>
          <w:szCs w:val="22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981"/>
        <w:gridCol w:w="8981"/>
      </w:tblGrid>
      <w:tr>
        <w:trPr>
          <w:cantSplit/>
          <w:trHeight w:val="1165"/>
        </w:trPr>
        <w:tc>
          <w:tcPr>
            <w:shd w:val="clear" w:color="ffffff" w:fill="ffffff"/>
            <w:tcBorders/>
            <w:tcW w:w="981" w:type="dxa"/>
            <w:vAlign w:val="center"/>
            <w:textDirection w:val="btLr"/>
          </w:tcPr>
          <w:p>
            <w:pPr>
              <w:pBdr/>
              <w:spacing/>
              <w:ind/>
              <w:jc w:val="center"/>
              <w:rPr>
                <w:rFonts w:ascii="Gentium" w:hAnsi="Gentium"/>
                <w:b/>
                <w:sz w:val="22"/>
                <w:szCs w:val="22"/>
              </w:rPr>
            </w:pPr>
            <w:r>
              <w:rPr>
                <w:rFonts w:ascii="Gentium" w:hAnsi="Gentium"/>
                <w:b/>
                <w:sz w:val="22"/>
                <w:szCs w:val="22"/>
              </w:rPr>
              <w:t xml:space="preserve">Competenţe profesionale</w:t>
            </w:r>
            <w:r>
              <w:rPr>
                <w:rFonts w:ascii="Gentium" w:hAnsi="Gentium"/>
                <w:b/>
                <w:sz w:val="22"/>
                <w:szCs w:val="22"/>
              </w:rPr>
            </w:r>
          </w:p>
        </w:tc>
        <w:tc>
          <w:tcPr>
            <w:shd w:val="clear" w:color="ffffff" w:fill="ffffff"/>
            <w:tcBorders/>
            <w:tcW w:w="8981" w:type="dxa"/>
          </w:tcPr>
          <w:p>
            <w:pPr>
              <w:pBdr/>
              <w:spacing/>
              <w:ind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Înţelegerea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teoriilor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comunicării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și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 a 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legăturii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lor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 cu 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predicarea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evangheliei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și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retorica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creștină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.</w:t>
            </w:r>
            <w:r>
              <w:rPr>
                <w:rFonts w:ascii="Gentium" w:hAnsi="Gentium"/>
                <w:sz w:val="22"/>
                <w:szCs w:val="22"/>
              </w:rPr>
            </w:r>
          </w:p>
          <w:p>
            <w:pPr>
              <w:pBdr/>
              <w:tabs>
                <w:tab w:val="right" w:leader="none" w:pos="8765"/>
              </w:tabs>
              <w:spacing/>
              <w:ind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Înţelegerea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structurii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sociale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 a 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comunității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, a 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funcționării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 sale 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și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 a 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problemelor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 de 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identitate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, 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conducere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și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dinamică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.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Gentium" w:hAnsi="Gentium"/>
                <w:sz w:val="22"/>
                <w:szCs w:val="22"/>
              </w:rPr>
              <w:tab/>
            </w:r>
            <w:r>
              <w:rPr>
                <w:rFonts w:ascii="Gentium" w:hAnsi="Gentium"/>
                <w:sz w:val="22"/>
                <w:szCs w:val="22"/>
              </w:rPr>
            </w:r>
          </w:p>
          <w:p>
            <w:pPr>
              <w:pBdr/>
              <w:spacing/>
              <w:ind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Înţelegerea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fenomenului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 cultural, 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și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 a 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relației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între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misiune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, 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evanghelile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, 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comunitate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și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cultură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.</w:t>
            </w:r>
            <w:r>
              <w:rPr>
                <w:rFonts w:ascii="Gentium" w:hAnsi="Gentium"/>
                <w:sz w:val="22"/>
                <w:szCs w:val="22"/>
              </w:rPr>
            </w:r>
          </w:p>
        </w:tc>
      </w:tr>
      <w:tr>
        <w:trPr>
          <w:cantSplit/>
          <w:trHeight w:val="1267"/>
        </w:trPr>
        <w:tc>
          <w:tcPr>
            <w:shd w:val="clear" w:color="ffffff" w:fill="ffffff"/>
            <w:tcBorders/>
            <w:tcW w:w="981" w:type="dxa"/>
            <w:textDirection w:val="btLr"/>
          </w:tcPr>
          <w:p>
            <w:pPr>
              <w:pBdr/>
              <w:spacing/>
              <w:ind/>
              <w:rPr>
                <w:rFonts w:ascii="Gentium" w:hAnsi="Gentium"/>
                <w:b/>
                <w:sz w:val="22"/>
                <w:szCs w:val="22"/>
              </w:rPr>
            </w:pPr>
            <w:r>
              <w:rPr>
                <w:rFonts w:ascii="Gentium" w:hAnsi="Gentium"/>
                <w:b/>
                <w:sz w:val="22"/>
                <w:szCs w:val="22"/>
              </w:rPr>
              <w:t xml:space="preserve">Competenţe transversale</w:t>
            </w:r>
            <w:r>
              <w:rPr>
                <w:rFonts w:ascii="Gentium" w:hAnsi="Gentium"/>
                <w:b/>
                <w:sz w:val="22"/>
                <w:szCs w:val="22"/>
              </w:rPr>
            </w:r>
          </w:p>
        </w:tc>
        <w:tc>
          <w:tcPr>
            <w:shd w:val="clear" w:color="ffffff" w:fill="ffffff"/>
            <w:tcBorders/>
            <w:tcW w:w="8981" w:type="dxa"/>
          </w:tcPr>
          <w:p>
            <w:pPr>
              <w:numPr>
                <w:ilvl w:val="0"/>
                <w:numId w:val="12"/>
              </w:numPr>
              <w:pBdr/>
              <w:spacing/>
              <w:ind w:left="0"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De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zvoltarea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capacității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 de 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a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înțelege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 o 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societate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și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funcționalității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comunității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creștine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în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societate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.</w:t>
            </w:r>
            <w:r>
              <w:rPr>
                <w:rFonts w:ascii="Gentium" w:hAnsi="Gentium"/>
                <w:sz w:val="22"/>
                <w:szCs w:val="22"/>
              </w:rPr>
            </w:r>
          </w:p>
          <w:p>
            <w:pPr>
              <w:numPr>
                <w:ilvl w:val="0"/>
                <w:numId w:val="12"/>
              </w:numPr>
              <w:pBdr/>
              <w:spacing/>
              <w:ind w:left="0"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Înţele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gerea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contribuției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creștine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 la 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cultura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societății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și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 a 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nevoiei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 de 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încurajare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 a 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unei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comunicări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eficiente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, 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deschise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, constructive.</w:t>
            </w:r>
            <w:r>
              <w:rPr>
                <w:rFonts w:ascii="Gentium" w:hAnsi="Gentium"/>
                <w:sz w:val="22"/>
                <w:szCs w:val="22"/>
              </w:rPr>
            </w:r>
          </w:p>
          <w:p>
            <w:pPr>
              <w:numPr>
                <w:ilvl w:val="0"/>
                <w:numId w:val="12"/>
              </w:numPr>
              <w:pBdr/>
              <w:spacing/>
              <w:ind w:left="0"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Dezvoltare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capacității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 de a 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sluji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societate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prin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mesajul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credinței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și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prin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contribuții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 positive la 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viața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comunității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.</w:t>
            </w:r>
            <w:r>
              <w:rPr>
                <w:rFonts w:ascii="Gentium" w:hAnsi="Gentium"/>
                <w:sz w:val="22"/>
                <w:szCs w:val="22"/>
              </w:rPr>
            </w:r>
          </w:p>
        </w:tc>
      </w:tr>
    </w:tbl>
    <w:p>
      <w:pPr>
        <w:pBdr/>
        <w:spacing/>
        <w:ind w:firstLine="709"/>
        <w:rPr>
          <w:rFonts w:ascii="Gentium" w:hAnsi="Gentium"/>
          <w:b/>
          <w:sz w:val="16"/>
          <w:szCs w:val="16"/>
        </w:rPr>
      </w:pPr>
      <w:r>
        <w:rPr>
          <w:rFonts w:ascii="Gentium" w:hAnsi="Gentium"/>
          <w:b/>
          <w:sz w:val="16"/>
          <w:szCs w:val="16"/>
        </w:rPr>
      </w:r>
      <w:r>
        <w:rPr>
          <w:rFonts w:ascii="Gentium" w:hAnsi="Gentium"/>
          <w:b/>
          <w:sz w:val="16"/>
          <w:szCs w:val="16"/>
        </w:rPr>
      </w:r>
    </w:p>
    <w:p>
      <w:pPr>
        <w:pBdr/>
        <w:spacing/>
        <w:ind w:firstLine="709"/>
        <w:rPr>
          <w:rFonts w:ascii="Gentium" w:hAnsi="Gentium"/>
          <w:b/>
          <w:sz w:val="16"/>
          <w:szCs w:val="16"/>
        </w:rPr>
      </w:pPr>
      <w:r>
        <w:rPr>
          <w:rFonts w:ascii="Gentium" w:hAnsi="Gentium"/>
          <w:b/>
          <w:sz w:val="16"/>
          <w:szCs w:val="16"/>
        </w:rPr>
      </w:r>
      <w:r>
        <w:rPr>
          <w:rFonts w:ascii="Gentium" w:hAnsi="Gentium"/>
          <w:b/>
          <w:sz w:val="16"/>
          <w:szCs w:val="16"/>
        </w:rPr>
      </w:r>
    </w:p>
    <w:p>
      <w:pPr>
        <w:pBdr/>
        <w:spacing/>
        <w:ind/>
        <w:rPr>
          <w:rFonts w:ascii="Gentium" w:hAnsi="Gentium"/>
          <w:sz w:val="22"/>
          <w:szCs w:val="22"/>
        </w:rPr>
      </w:pPr>
      <w:r>
        <w:rPr>
          <w:rFonts w:ascii="Gentium" w:hAnsi="Gentium"/>
          <w:b/>
          <w:sz w:val="22"/>
          <w:szCs w:val="22"/>
        </w:rPr>
        <w:t xml:space="preserve">7. Obiectivele disciplinei</w:t>
      </w:r>
      <w:r>
        <w:rPr>
          <w:rFonts w:ascii="Gentium" w:hAnsi="Gentium"/>
          <w:sz w:val="22"/>
          <w:szCs w:val="22"/>
        </w:rPr>
        <w:t xml:space="preserve"> (reieşind din grila competenţelor specifice acumulate)</w:t>
      </w:r>
      <w:r>
        <w:rPr>
          <w:rFonts w:ascii="Gentium" w:hAnsi="Gentium"/>
          <w:sz w:val="22"/>
          <w:szCs w:val="22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pPr w:horzAnchor="margin" w:tblpXSpec="left" w:vertAnchor="text" w:tblpY="104" w:leftFromText="180" w:topFromText="0" w:rightFromText="180" w:bottomFromText="0"/>
        <w:tblLook w:val="04A0" w:firstRow="1" w:lastRow="0" w:firstColumn="1" w:lastColumn="0" w:noHBand="0" w:noVBand="1"/>
      </w:tblPr>
      <w:tblGrid>
        <w:gridCol w:w="2832"/>
        <w:gridCol w:w="7130"/>
      </w:tblGrid>
      <w:tr>
        <w:trPr/>
        <w:tc>
          <w:tcPr>
            <w:shd w:val="clear" w:color="ffffff" w:fill="ffffff"/>
            <w:tcBorders/>
            <w:tcW w:w="2832" w:type="dxa"/>
          </w:tcPr>
          <w:p>
            <w:pPr>
              <w:pBdr/>
              <w:spacing/>
              <w:ind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</w:rPr>
              <w:t xml:space="preserve">7.1 Obiectivul general al disciplinei</w:t>
            </w:r>
            <w:r>
              <w:rPr>
                <w:rFonts w:ascii="Gentium" w:hAnsi="Gentium"/>
                <w:sz w:val="22"/>
                <w:szCs w:val="22"/>
              </w:rPr>
            </w:r>
          </w:p>
        </w:tc>
        <w:tc>
          <w:tcPr>
            <w:shd w:val="clear" w:color="ffffff" w:fill="ffffff"/>
            <w:tcBorders/>
            <w:tcW w:w="7130" w:type="dxa"/>
          </w:tcPr>
          <w:p>
            <w:pPr>
              <w:pBdr/>
              <w:tabs>
                <w:tab w:val="center" w:leader="none" w:pos="3457"/>
              </w:tabs>
              <w:spacing/>
              <w:ind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</w:rPr>
              <w:t xml:space="preserve">Înțelegerea relației între cultură, comunitate și comunicare și a ajustărilor dintre ele.</w:t>
            </w:r>
            <w:r>
              <w:rPr>
                <w:rFonts w:ascii="Gentium" w:hAnsi="Gentium"/>
                <w:sz w:val="22"/>
                <w:szCs w:val="22"/>
              </w:rPr>
              <w:tab/>
            </w:r>
            <w:r>
              <w:rPr>
                <w:rFonts w:ascii="Gentium" w:hAnsi="Gentium"/>
                <w:sz w:val="22"/>
                <w:szCs w:val="22"/>
              </w:rPr>
            </w:r>
          </w:p>
        </w:tc>
      </w:tr>
      <w:tr>
        <w:trPr>
          <w:trHeight w:val="831"/>
        </w:trPr>
        <w:tc>
          <w:tcPr>
            <w:shd w:val="clear" w:color="ffffff" w:fill="ffffff"/>
            <w:tcBorders/>
            <w:tcW w:w="2832" w:type="dxa"/>
          </w:tcPr>
          <w:p>
            <w:pPr>
              <w:pBdr/>
              <w:spacing/>
              <w:ind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</w:rPr>
              <w:t xml:space="preserve">7.2 Obiectivele specifice</w:t>
            </w:r>
            <w:r>
              <w:rPr>
                <w:rFonts w:ascii="Gentium" w:hAnsi="Gentium"/>
                <w:sz w:val="22"/>
                <w:szCs w:val="22"/>
              </w:rPr>
            </w:r>
          </w:p>
          <w:p>
            <w:pPr>
              <w:pBdr/>
              <w:spacing/>
              <w:ind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</w:rPr>
            </w:r>
            <w:r>
              <w:rPr>
                <w:rFonts w:ascii="Gentium" w:hAnsi="Gentium"/>
                <w:sz w:val="22"/>
                <w:szCs w:val="22"/>
              </w:rPr>
            </w:r>
          </w:p>
          <w:p>
            <w:pPr>
              <w:pBdr/>
              <w:spacing/>
              <w:ind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</w:rPr>
            </w:r>
            <w:r>
              <w:rPr>
                <w:rFonts w:ascii="Gentium" w:hAnsi="Gentium"/>
                <w:sz w:val="22"/>
                <w:szCs w:val="22"/>
              </w:rPr>
            </w:r>
          </w:p>
        </w:tc>
        <w:tc>
          <w:tcPr>
            <w:shd w:val="clear" w:color="ffffff" w:fill="ffffff"/>
            <w:tcBorders/>
            <w:tcW w:w="7130" w:type="dxa"/>
          </w:tcPr>
          <w:p>
            <w:pPr>
              <w:numPr>
                <w:ilvl w:val="0"/>
                <w:numId w:val="12"/>
              </w:numPr>
              <w:pBdr/>
              <w:spacing/>
              <w:ind w:left="0"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</w:rPr>
              <w:t xml:space="preserve">Înțelegerea elementelor teoriei comunicării, înțelegerea relației între cultură și credința creștină, și în sociologia organizării comunității</w:t>
            </w:r>
            <w:r>
              <w:rPr>
                <w:rFonts w:ascii="Gentium" w:hAnsi="Gentium"/>
                <w:sz w:val="22"/>
                <w:szCs w:val="22"/>
              </w:rPr>
              <w:t xml:space="preserve">.</w:t>
            </w:r>
            <w:r>
              <w:rPr>
                <w:rFonts w:ascii="Gentium" w:hAnsi="Gentium"/>
                <w:sz w:val="22"/>
                <w:szCs w:val="22"/>
              </w:rPr>
            </w:r>
          </w:p>
        </w:tc>
      </w:tr>
    </w:tbl>
    <w:p>
      <w:pPr>
        <w:pBdr/>
        <w:spacing/>
        <w:ind/>
        <w:rPr>
          <w:rFonts w:ascii="Gentium" w:hAnsi="Gentium"/>
          <w:sz w:val="22"/>
          <w:szCs w:val="22"/>
        </w:rPr>
      </w:pPr>
      <w:r>
        <w:rPr>
          <w:rFonts w:ascii="Gentium" w:hAnsi="Gentium"/>
          <w:sz w:val="22"/>
          <w:szCs w:val="22"/>
        </w:rPr>
      </w:r>
      <w:r>
        <w:rPr>
          <w:rFonts w:ascii="Gentium" w:hAnsi="Gentium"/>
          <w:sz w:val="22"/>
          <w:szCs w:val="22"/>
        </w:rPr>
      </w:r>
    </w:p>
    <w:p>
      <w:pPr>
        <w:pBdr/>
        <w:spacing/>
        <w:ind/>
        <w:rPr>
          <w:rFonts w:ascii="Gentium" w:hAnsi="Gentium"/>
          <w:sz w:val="16"/>
          <w:szCs w:val="16"/>
        </w:rPr>
      </w:pPr>
      <w:r>
        <w:rPr>
          <w:rFonts w:ascii="Gentium" w:hAnsi="Gentium"/>
          <w:sz w:val="16"/>
          <w:szCs w:val="16"/>
        </w:rPr>
      </w:r>
      <w:r>
        <w:rPr>
          <w:rFonts w:ascii="Gentium" w:hAnsi="Gentium"/>
          <w:sz w:val="16"/>
          <w:szCs w:val="16"/>
        </w:rPr>
      </w:r>
    </w:p>
    <w:p>
      <w:pPr>
        <w:pBdr/>
        <w:spacing/>
        <w:ind/>
        <w:rPr>
          <w:rFonts w:ascii="Gentium" w:hAnsi="Gentium"/>
          <w:b/>
          <w:sz w:val="22"/>
          <w:szCs w:val="22"/>
        </w:rPr>
      </w:pPr>
      <w:r>
        <w:rPr>
          <w:rFonts w:ascii="Gentium" w:hAnsi="Gentium"/>
          <w:b/>
          <w:sz w:val="22"/>
          <w:szCs w:val="22"/>
        </w:rPr>
        <w:t xml:space="preserve">8. Conţinuturi</w:t>
      </w:r>
      <w:r>
        <w:rPr>
          <w:rFonts w:ascii="Gentium" w:hAnsi="Gentium"/>
          <w:b/>
          <w:sz w:val="22"/>
          <w:szCs w:val="22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4809"/>
        <w:gridCol w:w="4190"/>
        <w:gridCol w:w="1139"/>
      </w:tblGrid>
      <w:tr>
        <w:trPr>
          <w:trHeight w:val="550"/>
        </w:trPr>
        <w:tc>
          <w:tcPr>
            <w:shd w:val="clear" w:color="ffffff" w:fill="d9d9d9"/>
            <w:tcBorders/>
            <w:tcW w:w="0" w:type="auto"/>
          </w:tcPr>
          <w:p>
            <w:pPr>
              <w:pBdr/>
              <w:spacing/>
              <w:ind/>
              <w:rPr>
                <w:rFonts w:ascii="Gentium" w:hAnsi="Gentium"/>
                <w:b/>
                <w:sz w:val="22"/>
                <w:szCs w:val="22"/>
              </w:rPr>
            </w:pPr>
            <w:r>
              <w:rPr>
                <w:rFonts w:ascii="Gentium" w:hAnsi="Gentium"/>
                <w:b/>
                <w:sz w:val="22"/>
                <w:szCs w:val="22"/>
              </w:rPr>
              <w:t xml:space="preserve">8.1. Curs</w:t>
            </w:r>
            <w:r>
              <w:rPr>
                <w:rFonts w:ascii="Gentium" w:hAnsi="Gentium"/>
                <w:b/>
                <w:sz w:val="22"/>
                <w:szCs w:val="22"/>
              </w:rPr>
            </w:r>
          </w:p>
        </w:tc>
        <w:tc>
          <w:tcPr>
            <w:shd w:val="clear" w:color="ffffff" w:fill="d9d9d9"/>
            <w:tcBorders/>
            <w:tcW w:w="0" w:type="auto"/>
          </w:tcPr>
          <w:p>
            <w:pPr>
              <w:pBdr/>
              <w:spacing/>
              <w:ind/>
              <w:rPr>
                <w:rFonts w:ascii="Gentium" w:hAnsi="Gentium"/>
                <w:b/>
                <w:sz w:val="22"/>
                <w:szCs w:val="22"/>
              </w:rPr>
            </w:pPr>
            <w:r>
              <w:rPr>
                <w:rFonts w:ascii="Gentium" w:hAnsi="Gentium"/>
                <w:b/>
                <w:sz w:val="22"/>
                <w:szCs w:val="22"/>
              </w:rPr>
              <w:t xml:space="preserve">Metode de predare</w:t>
            </w:r>
            <w:r>
              <w:rPr>
                <w:rFonts w:ascii="Gentium" w:hAnsi="Gentium"/>
                <w:b/>
                <w:sz w:val="22"/>
                <w:szCs w:val="22"/>
                <w:lang w:val="en-US"/>
              </w:rPr>
              <w:t xml:space="preserve">: </w:t>
            </w:r>
            <w:r>
              <w:rPr>
                <w:rFonts w:ascii="Gentium" w:hAnsi="Gentium"/>
                <w:b/>
                <w:sz w:val="22"/>
                <w:szCs w:val="22"/>
                <w:lang w:val="en-US"/>
              </w:rPr>
              <w:t xml:space="preserve">expunere</w:t>
            </w:r>
            <w:r>
              <w:rPr>
                <w:rFonts w:ascii="Gentium" w:hAnsi="Gentium"/>
                <w:b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Gentium" w:hAnsi="Gentium"/>
                <w:b/>
                <w:sz w:val="22"/>
                <w:szCs w:val="22"/>
                <w:lang w:val="en-US"/>
              </w:rPr>
              <w:t xml:space="preserve">interactivă</w:t>
            </w:r>
            <w:r>
              <w:rPr>
                <w:rFonts w:ascii="Gentium" w:hAnsi="Gentium"/>
                <w:b/>
                <w:sz w:val="22"/>
                <w:szCs w:val="22"/>
                <w:lang w:val="en-US"/>
              </w:rPr>
              <w:t xml:space="preserve">, </w:t>
            </w:r>
            <w:r>
              <w:rPr>
                <w:rFonts w:ascii="Gentium" w:hAnsi="Gentium"/>
                <w:b/>
                <w:sz w:val="22"/>
                <w:szCs w:val="22"/>
                <w:lang w:val="en-US"/>
              </w:rPr>
              <w:t xml:space="preserve">descoperire</w:t>
            </w:r>
            <w:r>
              <w:rPr>
                <w:rFonts w:ascii="Gentium" w:hAnsi="Gentium"/>
                <w:b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Gentium" w:hAnsi="Gentium"/>
                <w:b/>
                <w:sz w:val="22"/>
                <w:szCs w:val="22"/>
                <w:lang w:val="en-US"/>
              </w:rPr>
              <w:t xml:space="preserve">dirijată</w:t>
            </w:r>
            <w:r>
              <w:rPr>
                <w:rFonts w:ascii="Gentium" w:hAnsi="Gentium"/>
                <w:b/>
                <w:sz w:val="22"/>
                <w:szCs w:val="22"/>
                <w:lang w:val="en-US"/>
              </w:rPr>
              <w:t xml:space="preserve">, </w:t>
            </w:r>
            <w:r>
              <w:rPr>
                <w:rFonts w:ascii="Gentium" w:hAnsi="Gentium"/>
                <w:b/>
                <w:sz w:val="22"/>
                <w:szCs w:val="22"/>
                <w:lang w:val="en-US"/>
              </w:rPr>
              <w:t xml:space="preserve">altele</w:t>
            </w:r>
            <w:r>
              <w:rPr>
                <w:rFonts w:ascii="Gentium" w:hAnsi="Gentium"/>
                <w:b/>
                <w:sz w:val="22"/>
                <w:szCs w:val="22"/>
              </w:rPr>
            </w:r>
          </w:p>
        </w:tc>
        <w:tc>
          <w:tcPr>
            <w:shd w:val="clear" w:color="ffffff" w:fill="d9d9d9"/>
            <w:tcBorders/>
            <w:tcW w:w="0" w:type="auto"/>
          </w:tcPr>
          <w:p>
            <w:pPr>
              <w:pBdr/>
              <w:spacing/>
              <w:ind/>
              <w:rPr>
                <w:rFonts w:ascii="Gentium" w:hAnsi="Gentium"/>
                <w:b/>
                <w:sz w:val="22"/>
                <w:szCs w:val="22"/>
              </w:rPr>
            </w:pPr>
            <w:r>
              <w:rPr>
                <w:rFonts w:ascii="Gentium" w:hAnsi="Gentium"/>
                <w:b/>
                <w:sz w:val="22"/>
                <w:szCs w:val="22"/>
              </w:rPr>
              <w:t xml:space="preserve">Observaţii</w:t>
            </w:r>
            <w:r>
              <w:rPr>
                <w:rFonts w:ascii="Gentium" w:hAnsi="Gentium"/>
                <w:b/>
                <w:sz w:val="22"/>
                <w:szCs w:val="22"/>
              </w:rPr>
            </w:r>
          </w:p>
        </w:tc>
      </w:tr>
      <w:tr>
        <w:trPr/>
        <w:tc>
          <w:tcPr>
            <w:shd w:val="clear" w:color="ffffff" w:fill="ffffff"/>
            <w:tcBorders/>
            <w:tcW w:w="0" w:type="auto"/>
          </w:tcPr>
          <w:p>
            <w:pPr>
              <w:pBdr/>
              <w:spacing/>
              <w:ind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</w:rPr>
              <w:t xml:space="preserve">Definițiile culturii, elementele 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ei func</w:t>
            </w:r>
            <w:r>
              <w:rPr>
                <w:rFonts w:ascii="Gentium" w:hAnsi="Gentium"/>
                <w:sz w:val="22"/>
                <w:szCs w:val="22"/>
                <w:lang w:val="ro-RO"/>
              </w:rPr>
              <w:t xml:space="preserve">ționale, dinamici</w:t>
            </w:r>
            <w:r>
              <w:rPr>
                <w:rFonts w:ascii="Gentium" w:hAnsi="Gentium"/>
                <w:sz w:val="22"/>
                <w:szCs w:val="22"/>
              </w:rPr>
              <w:t xml:space="preserve"> culturale de bază</w:t>
            </w:r>
            <w:r>
              <w:rPr>
                <w:rFonts w:ascii="Gentium" w:hAnsi="Gentium"/>
                <w:sz w:val="22"/>
                <w:szCs w:val="22"/>
              </w:rPr>
            </w:r>
          </w:p>
        </w:tc>
        <w:tc>
          <w:tcPr>
            <w:shd w:val="clear" w:color="ffffff" w:fill="ffffff"/>
            <w:tcBorders/>
            <w:tcW w:w="0" w:type="auto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ffffff"/>
            <w:tcBorders/>
            <w:tcW w:w="0" w:type="auto"/>
            <w:vAlign w:val="center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</w:tr>
      <w:tr>
        <w:trPr/>
        <w:tc>
          <w:tcPr>
            <w:shd w:val="clear" w:color="ffffff" w:fill="ffffff"/>
            <w:tcBorders/>
            <w:tcW w:w="0" w:type="auto"/>
          </w:tcPr>
          <w:p>
            <w:pPr>
              <w:pBdr/>
              <w:spacing/>
              <w:ind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</w:rPr>
              <w:t xml:space="preserve">Cultură și valori etnice</w:t>
            </w:r>
            <w:r>
              <w:rPr>
                <w:rFonts w:ascii="Gentium" w:hAnsi="Gentium"/>
                <w:sz w:val="22"/>
                <w:szCs w:val="22"/>
              </w:rPr>
            </w:r>
          </w:p>
        </w:tc>
        <w:tc>
          <w:tcPr>
            <w:shd w:val="clear" w:color="ffffff" w:fill="ffffff"/>
            <w:tcBorders/>
            <w:tcW w:w="0" w:type="auto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ffffff"/>
            <w:tcBorders/>
            <w:tcW w:w="0" w:type="auto"/>
            <w:vAlign w:val="center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</w:tr>
      <w:tr>
        <w:trPr/>
        <w:tc>
          <w:tcPr>
            <w:shd w:val="clear" w:color="ffffff" w:fill="ffffff"/>
            <w:tcBorders/>
            <w:tcW w:w="0" w:type="auto"/>
          </w:tcPr>
          <w:p>
            <w:pPr>
              <w:pBdr/>
              <w:spacing/>
              <w:ind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</w:rPr>
              <w:t xml:space="preserve">Cultură și manifestări tradițiionale (religie, foclor)</w:t>
            </w:r>
            <w:r>
              <w:rPr>
                <w:rFonts w:ascii="Gentium" w:hAnsi="Gentium"/>
                <w:sz w:val="22"/>
                <w:szCs w:val="22"/>
              </w:rPr>
            </w:r>
          </w:p>
        </w:tc>
        <w:tc>
          <w:tcPr>
            <w:shd w:val="clear" w:color="ffffff" w:fill="ffffff"/>
            <w:tcBorders/>
            <w:tcW w:w="0" w:type="auto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ffffff"/>
            <w:tcBorders/>
            <w:tcW w:w="0" w:type="auto"/>
            <w:vAlign w:val="center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</w:tr>
      <w:tr>
        <w:trPr/>
        <w:tc>
          <w:tcPr>
            <w:shd w:val="clear" w:color="ffffff" w:fill="ffffff"/>
            <w:tcBorders/>
            <w:tcW w:w="0" w:type="auto"/>
          </w:tcPr>
          <w:p>
            <w:pPr>
              <w:pBdr/>
              <w:spacing/>
              <w:ind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</w:rPr>
              <w:t xml:space="preserve">Comunicare - fundamente</w:t>
            </w:r>
            <w:r>
              <w:rPr>
                <w:rFonts w:ascii="Gentium" w:hAnsi="Gentium"/>
                <w:sz w:val="22"/>
                <w:szCs w:val="22"/>
              </w:rPr>
            </w:r>
          </w:p>
        </w:tc>
        <w:tc>
          <w:tcPr>
            <w:shd w:val="clear" w:color="ffffff" w:fill="ffffff"/>
            <w:tcBorders/>
            <w:tcW w:w="0" w:type="auto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ffffff"/>
            <w:tcBorders/>
            <w:tcW w:w="0" w:type="auto"/>
            <w:vAlign w:val="center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</w:tr>
      <w:tr>
        <w:trPr/>
        <w:tc>
          <w:tcPr>
            <w:shd w:val="clear" w:color="ffffff" w:fill="ffffff"/>
            <w:tcBorders/>
            <w:tcW w:w="0" w:type="auto"/>
          </w:tcPr>
          <w:p>
            <w:pPr>
              <w:pBdr/>
              <w:spacing/>
              <w:ind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</w:rPr>
              <w:t xml:space="preserve">Comunicare, cultură,  identitate</w:t>
            </w:r>
            <w:r>
              <w:rPr>
                <w:rFonts w:ascii="Gentium" w:hAnsi="Gentium"/>
                <w:sz w:val="22"/>
                <w:szCs w:val="22"/>
              </w:rPr>
            </w:r>
          </w:p>
        </w:tc>
        <w:tc>
          <w:tcPr>
            <w:shd w:val="clear" w:color="ffffff" w:fill="ffffff"/>
            <w:tcBorders/>
            <w:tcW w:w="0" w:type="auto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ffffff"/>
            <w:tcBorders/>
            <w:tcW w:w="0" w:type="auto"/>
            <w:vAlign w:val="center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</w:tr>
      <w:tr>
        <w:trPr/>
        <w:tc>
          <w:tcPr>
            <w:shd w:val="clear" w:color="ffffff" w:fill="ffffff"/>
            <w:tcBorders/>
            <w:tcW w:w="0" w:type="auto"/>
          </w:tcPr>
          <w:p>
            <w:pPr>
              <w:pBdr/>
              <w:spacing/>
              <w:ind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</w:rPr>
              <w:t xml:space="preserve">Comunitate și ajutor social</w:t>
            </w:r>
            <w:r>
              <w:rPr>
                <w:rFonts w:ascii="Gentium" w:hAnsi="Gentium"/>
                <w:sz w:val="22"/>
                <w:szCs w:val="22"/>
              </w:rPr>
              <w:t xml:space="preserve">, politic</w:t>
            </w:r>
            <w:r>
              <w:rPr>
                <w:rFonts w:ascii="Gentium" w:hAnsi="Gentium"/>
                <w:sz w:val="22"/>
                <w:szCs w:val="22"/>
              </w:rPr>
              <w:t xml:space="preserve">i sociale, cultură</w:t>
            </w:r>
            <w:r>
              <w:rPr>
                <w:rFonts w:ascii="Gentium" w:hAnsi="Gentium"/>
                <w:sz w:val="22"/>
                <w:szCs w:val="22"/>
              </w:rPr>
            </w:r>
          </w:p>
        </w:tc>
        <w:tc>
          <w:tcPr>
            <w:shd w:val="clear" w:color="ffffff" w:fill="ffffff"/>
            <w:tcBorders/>
            <w:tcW w:w="0" w:type="auto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ffffff"/>
            <w:tcBorders/>
            <w:tcW w:w="0" w:type="auto"/>
            <w:vAlign w:val="center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</w:tr>
      <w:tr>
        <w:trPr/>
        <w:tc>
          <w:tcPr>
            <w:shd w:val="clear" w:color="ffffff" w:fill="ffffff"/>
            <w:tcBorders/>
            <w:tcW w:w="0" w:type="auto"/>
          </w:tcPr>
          <w:p>
            <w:pPr>
              <w:pBdr/>
              <w:spacing/>
              <w:ind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</w:rPr>
              <w:t xml:space="preserve">Biserica și viață cultural</w:t>
            </w:r>
            <w:r>
              <w:rPr>
                <w:rFonts w:ascii="Gentium" w:hAnsi="Gentium"/>
                <w:sz w:val="22"/>
                <w:szCs w:val="22"/>
              </w:rPr>
              <w:t xml:space="preserve">ă</w:t>
            </w:r>
            <w:r>
              <w:rPr>
                <w:rFonts w:ascii="Gentium" w:hAnsi="Gentium"/>
                <w:sz w:val="22"/>
                <w:szCs w:val="22"/>
              </w:rPr>
            </w:r>
          </w:p>
        </w:tc>
        <w:tc>
          <w:tcPr>
            <w:shd w:val="clear" w:color="ffffff" w:fill="ffffff"/>
            <w:tcBorders/>
            <w:tcW w:w="0" w:type="auto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ffffff"/>
            <w:tcBorders/>
            <w:tcW w:w="0" w:type="auto"/>
            <w:vAlign w:val="center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</w:tr>
      <w:tr>
        <w:trPr/>
        <w:tc>
          <w:tcPr>
            <w:shd w:val="clear" w:color="ffffff" w:fill="ffffff"/>
            <w:tcBorders/>
            <w:tcW w:w="0" w:type="auto"/>
          </w:tcPr>
          <w:p>
            <w:pPr>
              <w:pBdr/>
              <w:spacing/>
              <w:ind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</w:rPr>
              <w:t xml:space="preserve">Biblia și comunicarea, unificare – diversificare culturală</w:t>
            </w:r>
            <w:r>
              <w:rPr>
                <w:rFonts w:ascii="Gentium" w:hAnsi="Gentium"/>
                <w:sz w:val="22"/>
                <w:szCs w:val="22"/>
              </w:rPr>
            </w:r>
          </w:p>
        </w:tc>
        <w:tc>
          <w:tcPr>
            <w:shd w:val="clear" w:color="ffffff" w:fill="ffffff"/>
            <w:tcBorders/>
            <w:tcW w:w="0" w:type="auto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ffffff"/>
            <w:tcBorders/>
            <w:tcW w:w="0" w:type="auto"/>
            <w:vAlign w:val="center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</w:tr>
      <w:tr>
        <w:trPr/>
        <w:tc>
          <w:tcPr>
            <w:shd w:val="clear" w:color="ffffff" w:fill="ffffff"/>
            <w:tcBorders/>
            <w:tcW w:w="0" w:type="auto"/>
          </w:tcPr>
          <w:p>
            <w:pPr>
              <w:pBdr/>
              <w:spacing/>
              <w:ind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</w:rPr>
              <w:t xml:space="preserve">Comunicare și limbaje</w:t>
            </w:r>
            <w:r>
              <w:rPr>
                <w:rFonts w:ascii="Gentium" w:hAnsi="Gentium"/>
                <w:sz w:val="22"/>
                <w:szCs w:val="22"/>
              </w:rPr>
              <w:t xml:space="preserve">, codificare-decodificare</w:t>
            </w:r>
            <w:r>
              <w:rPr>
                <w:rFonts w:ascii="Gentium" w:hAnsi="Gentium"/>
                <w:sz w:val="22"/>
                <w:szCs w:val="22"/>
              </w:rPr>
            </w:r>
          </w:p>
        </w:tc>
        <w:tc>
          <w:tcPr>
            <w:shd w:val="clear" w:color="ffffff" w:fill="ffffff"/>
            <w:tcBorders/>
            <w:tcW w:w="0" w:type="auto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ffffff"/>
            <w:tcBorders/>
            <w:tcW w:w="0" w:type="auto"/>
            <w:vAlign w:val="center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</w:tr>
      <w:tr>
        <w:trPr/>
        <w:tc>
          <w:tcPr>
            <w:shd w:val="clear" w:color="ffffff" w:fill="ffffff"/>
            <w:tcBorders/>
            <w:tcW w:w="0" w:type="auto"/>
          </w:tcPr>
          <w:p>
            <w:pPr>
              <w:pBdr/>
              <w:spacing/>
              <w:ind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</w:rPr>
              <w:t xml:space="preserve">Comunicare și </w:t>
            </w:r>
            <w:r>
              <w:rPr>
                <w:rFonts w:ascii="Gentium" w:hAnsi="Gentium"/>
                <w:sz w:val="22"/>
                <w:szCs w:val="22"/>
              </w:rPr>
              <w:t xml:space="preserve">spiritualitate internațională</w:t>
            </w:r>
            <w:r>
              <w:rPr>
                <w:rFonts w:ascii="Gentium" w:hAnsi="Gentium"/>
                <w:sz w:val="22"/>
                <w:szCs w:val="22"/>
              </w:rPr>
            </w:r>
          </w:p>
        </w:tc>
        <w:tc>
          <w:tcPr>
            <w:shd w:val="clear" w:color="ffffff" w:fill="ffffff"/>
            <w:tcBorders/>
            <w:tcW w:w="0" w:type="auto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ffffff"/>
            <w:tcBorders/>
            <w:tcW w:w="0" w:type="auto"/>
            <w:vAlign w:val="center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</w:tr>
      <w:tr>
        <w:trPr/>
        <w:tc>
          <w:tcPr>
            <w:shd w:val="clear" w:color="ffffff" w:fill="ffffff"/>
            <w:tcBorders/>
            <w:tcW w:w="0" w:type="auto"/>
          </w:tcPr>
          <w:p>
            <w:pPr>
              <w:pBdr/>
              <w:spacing/>
              <w:ind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</w:rPr>
              <w:t xml:space="preserve">Comunicare și relația cu teologia</w:t>
            </w:r>
            <w:r>
              <w:rPr>
                <w:rFonts w:ascii="Gentium" w:hAnsi="Gentium"/>
                <w:sz w:val="22"/>
                <w:szCs w:val="22"/>
              </w:rPr>
            </w:r>
          </w:p>
        </w:tc>
        <w:tc>
          <w:tcPr>
            <w:shd w:val="clear" w:color="ffffff" w:fill="ffffff"/>
            <w:tcBorders/>
            <w:tcW w:w="0" w:type="auto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ffffff"/>
            <w:tcBorders/>
            <w:tcW w:w="0" w:type="auto"/>
            <w:vAlign w:val="center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</w:tr>
      <w:tr>
        <w:trPr/>
        <w:tc>
          <w:tcPr>
            <w:shd w:val="clear" w:color="ffffff" w:fill="ffffff"/>
            <w:tcBorders/>
            <w:tcW w:w="0" w:type="auto"/>
          </w:tcPr>
          <w:p>
            <w:pPr>
              <w:pBdr/>
              <w:spacing/>
              <w:ind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</w:rPr>
              <w:t xml:space="preserve">Cunoaștere, cultură, Inteligență artificială</w:t>
            </w:r>
            <w:r>
              <w:rPr>
                <w:rFonts w:ascii="Gentium" w:hAnsi="Gentium"/>
                <w:sz w:val="22"/>
                <w:szCs w:val="22"/>
              </w:rPr>
            </w:r>
          </w:p>
        </w:tc>
        <w:tc>
          <w:tcPr>
            <w:shd w:val="clear" w:color="ffffff" w:fill="ffffff"/>
            <w:tcBorders/>
            <w:tcW w:w="0" w:type="auto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ffffff"/>
            <w:tcBorders/>
            <w:tcW w:w="0" w:type="auto"/>
            <w:vAlign w:val="center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</w:tr>
      <w:tr>
        <w:trPr/>
        <w:tc>
          <w:tcPr>
            <w:shd w:val="clear" w:color="ffffff" w:fill="ffffff"/>
            <w:tcBorders/>
            <w:tcW w:w="0" w:type="auto"/>
          </w:tcPr>
          <w:p>
            <w:pPr>
              <w:pBdr/>
              <w:spacing/>
              <w:ind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</w:rPr>
              <w:t xml:space="preserve">Comunicare și repere culturale misionare</w:t>
            </w:r>
            <w:r>
              <w:rPr>
                <w:rFonts w:ascii="Gentium" w:hAnsi="Gentium"/>
                <w:sz w:val="22"/>
                <w:szCs w:val="22"/>
              </w:rPr>
            </w:r>
            <w:r>
              <w:rPr>
                <w:rFonts w:ascii="Gentium" w:hAnsi="Gentium"/>
                <w:sz w:val="22"/>
                <w:szCs w:val="22"/>
              </w:rPr>
            </w:r>
          </w:p>
        </w:tc>
        <w:tc>
          <w:tcPr>
            <w:shd w:val="clear" w:color="ffffff" w:fill="ffffff"/>
            <w:tcBorders/>
            <w:tcW w:w="0" w:type="auto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ffffff"/>
            <w:tcBorders/>
            <w:tcW w:w="0" w:type="auto"/>
            <w:vAlign w:val="center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</w:tr>
      <w:tr>
        <w:trPr/>
        <w:tc>
          <w:tcPr>
            <w:shd w:val="clear" w:color="ffffff" w:fill="ffffff"/>
            <w:tcBorders/>
            <w:tcW w:w="0" w:type="auto"/>
          </w:tcPr>
          <w:p>
            <w:pPr>
              <w:pBdr/>
              <w:spacing/>
              <w:ind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</w:rPr>
              <w:t xml:space="preserve">Interacțiunea între cultură, comunitate, comunicare: proiecte</w:t>
            </w:r>
            <w:r>
              <w:rPr>
                <w:rFonts w:ascii="Gentium" w:hAnsi="Gentium"/>
                <w:sz w:val="22"/>
                <w:szCs w:val="22"/>
              </w:rPr>
            </w:r>
          </w:p>
        </w:tc>
        <w:tc>
          <w:tcPr>
            <w:shd w:val="clear" w:color="ffffff" w:fill="ffffff"/>
            <w:tcBorders/>
            <w:tcW w:w="0" w:type="auto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ffffff"/>
            <w:tcBorders/>
            <w:tcW w:w="0" w:type="auto"/>
            <w:vAlign w:val="center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</w:tr>
      <w:tr>
        <w:trPr>
          <w:trHeight w:val="892"/>
        </w:trPr>
        <w:tc>
          <w:tcPr>
            <w:shd w:val="clear" w:color="ffffff" w:fill="d9d9d9"/>
            <w:tcBorders/>
            <w:tcW w:w="0" w:type="auto"/>
            <w:vAlign w:val="center"/>
          </w:tcPr>
          <w:p>
            <w:pPr>
              <w:pBdr/>
              <w:spacing/>
              <w:ind/>
              <w:rPr>
                <w:rFonts w:ascii="Gentium" w:hAnsi="Gentium"/>
                <w:b/>
                <w:sz w:val="22"/>
                <w:szCs w:val="22"/>
              </w:rPr>
            </w:pPr>
            <w:r>
              <w:rPr>
                <w:rFonts w:ascii="Gentium" w:hAnsi="Gentium"/>
                <w:b/>
                <w:sz w:val="22"/>
                <w:szCs w:val="22"/>
              </w:rPr>
              <w:t xml:space="preserve">8.2. Seminar / laborator</w:t>
            </w:r>
            <w:r>
              <w:rPr>
                <w:rFonts w:ascii="Gentium" w:hAnsi="Gentium"/>
                <w:b/>
                <w:sz w:val="22"/>
                <w:szCs w:val="22"/>
              </w:rPr>
            </w:r>
          </w:p>
        </w:tc>
        <w:tc>
          <w:tcPr>
            <w:shd w:val="clear" w:color="ffffff" w:fill="d9d9d9"/>
            <w:tcBorders/>
            <w:tcW w:w="0" w:type="auto"/>
          </w:tcPr>
          <w:p>
            <w:pPr>
              <w:pBdr/>
              <w:spacing/>
              <w:ind/>
              <w:rPr>
                <w:rFonts w:ascii="Gentium" w:hAnsi="Gentium"/>
                <w:b/>
                <w:sz w:val="22"/>
                <w:szCs w:val="22"/>
              </w:rPr>
            </w:pPr>
            <w:r>
              <w:rPr>
                <w:rFonts w:ascii="Gentium" w:hAnsi="Gentium"/>
                <w:b/>
                <w:sz w:val="22"/>
                <w:szCs w:val="22"/>
                <w:lang w:val="en-US"/>
              </w:rPr>
              <w:t xml:space="preserve">Metode</w:t>
            </w:r>
            <w:r>
              <w:rPr>
                <w:rFonts w:ascii="Gentium" w:hAnsi="Gentium"/>
                <w:b/>
                <w:sz w:val="22"/>
                <w:szCs w:val="22"/>
                <w:lang w:val="en-US"/>
              </w:rPr>
              <w:t xml:space="preserve"> de seminar: </w:t>
            </w:r>
            <w:r>
              <w:rPr>
                <w:rFonts w:ascii="Gentium" w:hAnsi="Gentium"/>
                <w:b/>
                <w:sz w:val="22"/>
                <w:szCs w:val="22"/>
                <w:lang w:val="en-US"/>
              </w:rPr>
              <w:t xml:space="preserve">dezbatere</w:t>
            </w:r>
            <w:r>
              <w:rPr>
                <w:rFonts w:ascii="Gentium" w:hAnsi="Gentium"/>
                <w:b/>
                <w:sz w:val="22"/>
                <w:szCs w:val="22"/>
                <w:lang w:val="en-US"/>
              </w:rPr>
              <w:t xml:space="preserve">, </w:t>
            </w:r>
            <w:r>
              <w:rPr>
                <w:rFonts w:ascii="Gentium" w:hAnsi="Gentium"/>
                <w:b/>
                <w:sz w:val="22"/>
                <w:szCs w:val="22"/>
                <w:lang w:val="en-US"/>
              </w:rPr>
              <w:t xml:space="preserve">analiză</w:t>
            </w:r>
            <w:r>
              <w:rPr>
                <w:rFonts w:ascii="Gentium" w:hAnsi="Gentium"/>
                <w:b/>
                <w:sz w:val="22"/>
                <w:szCs w:val="22"/>
                <w:lang w:val="en-US"/>
              </w:rPr>
              <w:t xml:space="preserve"> de </w:t>
            </w:r>
            <w:r>
              <w:rPr>
                <w:rFonts w:ascii="Gentium" w:hAnsi="Gentium"/>
                <w:b/>
                <w:sz w:val="22"/>
                <w:szCs w:val="22"/>
                <w:lang w:val="en-US"/>
              </w:rPr>
              <w:t xml:space="preserve">caz</w:t>
            </w:r>
            <w:r>
              <w:rPr>
                <w:rFonts w:ascii="Gentium" w:hAnsi="Gentium"/>
                <w:b/>
                <w:sz w:val="22"/>
                <w:szCs w:val="22"/>
                <w:lang w:val="en-US"/>
              </w:rPr>
              <w:t xml:space="preserve">, </w:t>
            </w:r>
            <w:r>
              <w:rPr>
                <w:rFonts w:ascii="Gentium" w:hAnsi="Gentium"/>
                <w:b/>
                <w:sz w:val="22"/>
                <w:szCs w:val="22"/>
                <w:lang w:val="en-US"/>
              </w:rPr>
              <w:t xml:space="preserve">lucrare</w:t>
            </w:r>
            <w:r>
              <w:rPr>
                <w:rFonts w:ascii="Gentium" w:hAnsi="Gentium"/>
                <w:b/>
                <w:sz w:val="22"/>
                <w:szCs w:val="22"/>
              </w:rPr>
            </w:r>
          </w:p>
        </w:tc>
        <w:tc>
          <w:tcPr>
            <w:shd w:val="clear" w:color="ffffff" w:fill="d9d9d9"/>
            <w:tcBorders/>
            <w:tcW w:w="0" w:type="auto"/>
          </w:tcPr>
          <w:p>
            <w:pPr>
              <w:pBdr/>
              <w:spacing/>
              <w:ind/>
              <w:rPr>
                <w:rFonts w:ascii="Gentium" w:hAnsi="Gentium"/>
                <w:b/>
                <w:sz w:val="22"/>
                <w:szCs w:val="22"/>
              </w:rPr>
            </w:pPr>
            <w:r>
              <w:rPr>
                <w:rFonts w:ascii="Gentium" w:hAnsi="Gentium"/>
                <w:b/>
                <w:sz w:val="22"/>
                <w:szCs w:val="22"/>
              </w:rPr>
            </w:r>
            <w:r>
              <w:rPr>
                <w:rFonts w:ascii="Gentium" w:hAnsi="Gentium"/>
                <w:b/>
                <w:sz w:val="22"/>
                <w:szCs w:val="22"/>
              </w:rPr>
            </w:r>
          </w:p>
        </w:tc>
      </w:tr>
      <w:tr>
        <w:trPr/>
        <w:tc>
          <w:tcPr>
            <w:shd w:val="clear" w:color="ffffff" w:fill="ffffff"/>
            <w:tcBorders/>
            <w:tcW w:w="0" w:type="auto"/>
          </w:tcPr>
          <w:p>
            <w:pPr>
              <w:pBdr/>
              <w:spacing/>
              <w:ind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</w:rPr>
            </w:r>
            <w:r>
              <w:rPr>
                <w:rFonts w:ascii="Gentium" w:hAnsi="Gentium"/>
                <w:sz w:val="22"/>
                <w:szCs w:val="22"/>
              </w:rPr>
            </w:r>
          </w:p>
        </w:tc>
        <w:tc>
          <w:tcPr>
            <w:tcBorders/>
            <w:tcW w:w="0" w:type="auto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tcBorders/>
            <w:tcW w:w="0" w:type="auto"/>
            <w:vAlign w:val="center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</w:tr>
      <w:tr>
        <w:trPr/>
        <w:tc>
          <w:tcPr>
            <w:shd w:val="clear" w:color="ffffff" w:fill="ffffff"/>
            <w:tcBorders/>
            <w:tcW w:w="0" w:type="auto"/>
          </w:tcPr>
          <w:p>
            <w:pPr>
              <w:pBdr/>
              <w:spacing/>
              <w:ind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</w:rPr>
            </w:r>
            <w:r>
              <w:rPr>
                <w:rFonts w:ascii="Gentium" w:hAnsi="Gentium"/>
                <w:sz w:val="22"/>
                <w:szCs w:val="22"/>
              </w:rPr>
            </w:r>
          </w:p>
        </w:tc>
        <w:tc>
          <w:tcPr>
            <w:tcBorders/>
            <w:tcW w:w="0" w:type="auto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tcBorders/>
            <w:tcW w:w="0" w:type="auto"/>
            <w:vAlign w:val="center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</w:tr>
      <w:tr>
        <w:trPr/>
        <w:tc>
          <w:tcPr>
            <w:shd w:val="clear" w:color="ffffff" w:fill="ffffff"/>
            <w:tcBorders/>
            <w:tcW w:w="0" w:type="auto"/>
          </w:tcPr>
          <w:p>
            <w:pPr>
              <w:pBdr/>
              <w:spacing/>
              <w:ind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</w:rPr>
            </w:r>
            <w:r>
              <w:rPr>
                <w:rFonts w:ascii="Gentium" w:hAnsi="Gentium"/>
                <w:sz w:val="22"/>
                <w:szCs w:val="22"/>
              </w:rPr>
            </w:r>
          </w:p>
        </w:tc>
        <w:tc>
          <w:tcPr>
            <w:tcBorders/>
            <w:tcW w:w="0" w:type="auto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tcBorders/>
            <w:tcW w:w="0" w:type="auto"/>
            <w:vAlign w:val="center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</w:tr>
      <w:tr>
        <w:trPr/>
        <w:tc>
          <w:tcPr>
            <w:shd w:val="clear" w:color="ffffff" w:fill="ffffff"/>
            <w:tcBorders/>
            <w:tcW w:w="0" w:type="auto"/>
          </w:tcPr>
          <w:p>
            <w:pPr>
              <w:pBdr/>
              <w:spacing/>
              <w:ind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</w:rPr>
            </w:r>
            <w:r>
              <w:rPr>
                <w:rFonts w:ascii="Gentium" w:hAnsi="Gentium"/>
                <w:sz w:val="22"/>
                <w:szCs w:val="22"/>
              </w:rPr>
            </w:r>
          </w:p>
        </w:tc>
        <w:tc>
          <w:tcPr>
            <w:tcBorders/>
            <w:tcW w:w="0" w:type="auto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tcBorders/>
            <w:tcW w:w="0" w:type="auto"/>
            <w:vAlign w:val="center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</w:tr>
      <w:tr>
        <w:trPr/>
        <w:tc>
          <w:tcPr>
            <w:shd w:val="clear" w:color="ffffff" w:fill="ffffff"/>
            <w:tcBorders/>
            <w:tcW w:w="0" w:type="auto"/>
          </w:tcPr>
          <w:p>
            <w:pPr>
              <w:pBdr/>
              <w:spacing/>
              <w:ind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</w:rPr>
            </w:r>
            <w:r>
              <w:rPr>
                <w:rFonts w:ascii="Gentium" w:hAnsi="Gentium"/>
                <w:sz w:val="22"/>
                <w:szCs w:val="22"/>
              </w:rPr>
            </w:r>
          </w:p>
        </w:tc>
        <w:tc>
          <w:tcPr>
            <w:tcBorders/>
            <w:tcW w:w="0" w:type="auto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tcBorders/>
            <w:tcW w:w="0" w:type="auto"/>
            <w:vAlign w:val="center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</w:tr>
      <w:tr>
        <w:trPr/>
        <w:tc>
          <w:tcPr>
            <w:shd w:val="clear" w:color="ffffff" w:fill="ffffff"/>
            <w:tcBorders/>
            <w:tcW w:w="0" w:type="auto"/>
          </w:tcPr>
          <w:p>
            <w:pPr>
              <w:pBdr/>
              <w:spacing/>
              <w:ind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</w:rPr>
            </w:r>
            <w:r>
              <w:rPr>
                <w:rFonts w:ascii="Gentium" w:hAnsi="Gentium"/>
                <w:sz w:val="22"/>
                <w:szCs w:val="22"/>
              </w:rPr>
            </w:r>
          </w:p>
        </w:tc>
        <w:tc>
          <w:tcPr>
            <w:tcBorders/>
            <w:tcW w:w="0" w:type="auto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tcBorders/>
            <w:tcW w:w="0" w:type="auto"/>
            <w:vAlign w:val="center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</w:tr>
      <w:tr>
        <w:trPr/>
        <w:tc>
          <w:tcPr>
            <w:shd w:val="clear" w:color="ffffff" w:fill="ffffff"/>
            <w:tcBorders/>
            <w:tcW w:w="0" w:type="auto"/>
          </w:tcPr>
          <w:p>
            <w:pPr>
              <w:pBdr/>
              <w:spacing/>
              <w:ind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</w:rPr>
            </w:r>
            <w:r>
              <w:rPr>
                <w:rFonts w:ascii="Gentium" w:hAnsi="Gentium"/>
                <w:sz w:val="22"/>
                <w:szCs w:val="22"/>
              </w:rPr>
            </w:r>
          </w:p>
        </w:tc>
        <w:tc>
          <w:tcPr>
            <w:tcBorders/>
            <w:tcW w:w="0" w:type="auto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tcBorders/>
            <w:tcW w:w="0" w:type="auto"/>
            <w:vAlign w:val="center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</w:tr>
      <w:tr>
        <w:trPr/>
        <w:tc>
          <w:tcPr>
            <w:shd w:val="clear" w:color="ffffff" w:fill="ffffff"/>
            <w:tcBorders/>
            <w:tcW w:w="0" w:type="auto"/>
          </w:tcPr>
          <w:p>
            <w:pPr>
              <w:pBdr/>
              <w:spacing/>
              <w:ind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</w:rPr>
            </w:r>
            <w:r>
              <w:rPr>
                <w:rFonts w:ascii="Gentium" w:hAnsi="Gentium"/>
                <w:sz w:val="22"/>
                <w:szCs w:val="22"/>
              </w:rPr>
            </w:r>
          </w:p>
        </w:tc>
        <w:tc>
          <w:tcPr>
            <w:tcBorders/>
            <w:tcW w:w="0" w:type="auto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tcBorders/>
            <w:tcW w:w="0" w:type="auto"/>
            <w:vAlign w:val="center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</w:tr>
      <w:tr>
        <w:trPr/>
        <w:tc>
          <w:tcPr>
            <w:shd w:val="clear" w:color="ffffff" w:fill="ffffff"/>
            <w:tcBorders/>
            <w:tcW w:w="0" w:type="auto"/>
          </w:tcPr>
          <w:p>
            <w:pPr>
              <w:pBdr/>
              <w:spacing/>
              <w:ind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</w:rPr>
            </w:r>
            <w:r>
              <w:rPr>
                <w:rFonts w:ascii="Gentium" w:hAnsi="Gentium"/>
                <w:sz w:val="22"/>
                <w:szCs w:val="22"/>
              </w:rPr>
            </w:r>
          </w:p>
        </w:tc>
        <w:tc>
          <w:tcPr>
            <w:tcBorders/>
            <w:tcW w:w="0" w:type="auto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tcBorders/>
            <w:tcW w:w="0" w:type="auto"/>
            <w:vAlign w:val="center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</w:tr>
      <w:tr>
        <w:trPr/>
        <w:tc>
          <w:tcPr>
            <w:shd w:val="clear" w:color="ffffff" w:fill="ffffff"/>
            <w:tcBorders/>
            <w:tcW w:w="0" w:type="auto"/>
          </w:tcPr>
          <w:p>
            <w:pPr>
              <w:pBdr/>
              <w:spacing/>
              <w:ind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</w:rPr>
            </w:r>
            <w:r>
              <w:rPr>
                <w:rFonts w:ascii="Gentium" w:hAnsi="Gentium"/>
                <w:sz w:val="22"/>
                <w:szCs w:val="22"/>
              </w:rPr>
            </w:r>
          </w:p>
        </w:tc>
        <w:tc>
          <w:tcPr>
            <w:tcBorders/>
            <w:tcW w:w="0" w:type="auto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tcBorders/>
            <w:tcW w:w="0" w:type="auto"/>
            <w:vAlign w:val="center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</w:tr>
      <w:tr>
        <w:trPr/>
        <w:tc>
          <w:tcPr>
            <w:shd w:val="clear" w:color="ffffff" w:fill="ffffff"/>
            <w:tcBorders/>
            <w:tcW w:w="0" w:type="auto"/>
          </w:tcPr>
          <w:p>
            <w:pPr>
              <w:pBdr/>
              <w:spacing/>
              <w:ind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</w:rPr>
            </w:r>
            <w:r>
              <w:rPr>
                <w:rFonts w:ascii="Gentium" w:hAnsi="Gentium"/>
                <w:sz w:val="22"/>
                <w:szCs w:val="22"/>
              </w:rPr>
            </w:r>
          </w:p>
        </w:tc>
        <w:tc>
          <w:tcPr>
            <w:tcBorders/>
            <w:tcW w:w="0" w:type="auto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tcBorders/>
            <w:tcW w:w="0" w:type="auto"/>
            <w:vAlign w:val="center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</w:tr>
      <w:tr>
        <w:trPr/>
        <w:tc>
          <w:tcPr>
            <w:shd w:val="clear" w:color="ffffff" w:fill="ffffff"/>
            <w:tcBorders/>
            <w:tcW w:w="0" w:type="auto"/>
          </w:tcPr>
          <w:p>
            <w:pPr>
              <w:pBdr/>
              <w:spacing/>
              <w:ind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</w:rPr>
            </w:r>
            <w:r>
              <w:rPr>
                <w:rFonts w:ascii="Gentium" w:hAnsi="Gentium"/>
                <w:sz w:val="22"/>
                <w:szCs w:val="22"/>
              </w:rPr>
            </w:r>
          </w:p>
        </w:tc>
        <w:tc>
          <w:tcPr>
            <w:tcBorders/>
            <w:tcW w:w="0" w:type="auto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tcBorders/>
            <w:tcW w:w="0" w:type="auto"/>
            <w:vAlign w:val="center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</w:tr>
      <w:tr>
        <w:trPr/>
        <w:tc>
          <w:tcPr>
            <w:shd w:val="clear" w:color="ffffff" w:fill="ffffff"/>
            <w:tcBorders/>
            <w:tcW w:w="0" w:type="auto"/>
          </w:tcPr>
          <w:p>
            <w:pPr>
              <w:pBdr/>
              <w:spacing/>
              <w:ind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</w:rPr>
            </w:r>
            <w:r>
              <w:rPr>
                <w:rFonts w:ascii="Gentium" w:hAnsi="Gentium"/>
                <w:sz w:val="22"/>
                <w:szCs w:val="22"/>
              </w:rPr>
            </w:r>
          </w:p>
        </w:tc>
        <w:tc>
          <w:tcPr>
            <w:tcBorders/>
            <w:tcW w:w="0" w:type="auto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tcBorders/>
            <w:tcW w:w="0" w:type="auto"/>
            <w:vAlign w:val="center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</w:tr>
      <w:tr>
        <w:trPr/>
        <w:tc>
          <w:tcPr>
            <w:shd w:val="clear" w:color="ffffff" w:fill="ffffff"/>
            <w:tcBorders/>
            <w:tcW w:w="0" w:type="auto"/>
          </w:tcPr>
          <w:p>
            <w:pPr>
              <w:pBdr/>
              <w:spacing/>
              <w:ind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</w:rPr>
            </w:r>
            <w:r>
              <w:rPr>
                <w:rFonts w:ascii="Gentium" w:hAnsi="Gentium"/>
                <w:sz w:val="22"/>
                <w:szCs w:val="22"/>
              </w:rPr>
            </w:r>
          </w:p>
        </w:tc>
        <w:tc>
          <w:tcPr>
            <w:tcBorders/>
            <w:tcW w:w="0" w:type="auto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tcBorders/>
            <w:tcW w:w="0" w:type="auto"/>
            <w:vAlign w:val="center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</w:tr>
      <w:tr>
        <w:trPr/>
        <w:tc>
          <w:tcPr>
            <w:gridSpan w:val="3"/>
            <w:shd w:val="clear" w:color="ffffff" w:fill="ffffff"/>
            <w:tcBorders/>
            <w:tcW w:w="0" w:type="auto"/>
          </w:tcPr>
          <w:p>
            <w:pPr>
              <w:pBdr/>
              <w:spacing/>
              <w:ind/>
              <w:rPr>
                <w:rFonts w:ascii="Gentium" w:hAnsi="Gentium"/>
                <w:b/>
                <w:sz w:val="22"/>
                <w:szCs w:val="22"/>
              </w:rPr>
            </w:pPr>
            <w:r>
              <w:rPr>
                <w:rFonts w:ascii="Gentium" w:hAnsi="Gentium"/>
                <w:b/>
                <w:sz w:val="22"/>
                <w:szCs w:val="22"/>
              </w:rPr>
              <w:t xml:space="preserve">9. Bibliografie generală</w:t>
            </w:r>
            <w:r>
              <w:rPr>
                <w:rFonts w:ascii="Gentium" w:hAnsi="Gentium"/>
                <w:b/>
                <w:sz w:val="22"/>
                <w:szCs w:val="22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</w:rPr>
            </w:r>
            <w:r>
              <w:rPr>
                <w:rFonts w:ascii="Gentium" w:hAnsi="Gentium"/>
                <w:sz w:val="22"/>
                <w:szCs w:val="22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>
                <w:rFonts w:ascii="Gentium" w:hAnsi="Gentium"/>
                <w:b/>
                <w:bCs/>
                <w:sz w:val="22"/>
                <w:szCs w:val="22"/>
              </w:rPr>
            </w:pPr>
            <w:r>
              <w:rPr>
                <w:rFonts w:ascii="Gentium" w:hAnsi="Gentium"/>
                <w:b/>
                <w:bCs/>
                <w:sz w:val="22"/>
                <w:szCs w:val="22"/>
              </w:rPr>
              <w:t xml:space="preserve">Bibliografie obligatorie </w:t>
            </w:r>
            <w:r>
              <w:rPr>
                <w:rFonts w:ascii="Gentium" w:hAnsi="Gentium"/>
                <w:b/>
                <w:bCs/>
                <w:sz w:val="22"/>
                <w:szCs w:val="22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A.Barnard și J. Spencer (eds), Encyclopedia of Social and Cultural Anthropology, Routledge: London, 1996</w:t>
            </w:r>
            <w:r>
              <w:rPr>
                <w:rFonts w:ascii="Gentium" w:hAnsi="Gentium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A. Lesenciuc, Teorii ale comunicării, Editura Henri Coandă: Brașov, 2017</w:t>
            </w:r>
            <w:r>
              <w:rPr>
                <w:rFonts w:ascii="Gentium" w:hAnsi="Gentium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V. Tran, I. Stanciugelu, Editura David Ogilvy-SNSPA: București, 2001.</w:t>
            </w:r>
            <w:r>
              <w:rPr>
                <w:rFonts w:ascii="Gentium" w:hAnsi="Gentium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</w:rPr>
            </w:r>
            <w:r>
              <w:rPr>
                <w:rFonts w:ascii="Gentium" w:hAnsi="Gentium"/>
                <w:sz w:val="22"/>
                <w:szCs w:val="22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>
                <w:rFonts w:ascii="Gentium" w:hAnsi="Gentium"/>
                <w:b/>
                <w:bCs/>
                <w:sz w:val="22"/>
                <w:szCs w:val="22"/>
              </w:rPr>
            </w:pPr>
            <w:r>
              <w:rPr>
                <w:rFonts w:ascii="Gentium" w:hAnsi="Gentium"/>
                <w:b/>
                <w:bCs/>
                <w:sz w:val="22"/>
                <w:szCs w:val="22"/>
              </w:rPr>
              <w:t xml:space="preserve">Bibliografie optionala</w:t>
            </w:r>
            <w:r>
              <w:rPr>
                <w:rFonts w:ascii="Gentium" w:hAnsi="Gentium"/>
                <w:b/>
                <w:bCs/>
                <w:sz w:val="22"/>
                <w:szCs w:val="22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Bengt Holmberg and Mikael Winninge, eds, Identity Formation in the New Testament, Mohr Siebeck, Tübingen, 2008.</w:t>
            </w:r>
            <w:r>
              <w:rPr>
                <w:rFonts w:ascii="Gentium" w:hAnsi="Gentium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</w:rPr>
              <w:t xml:space="preserve">J. Brian Tucker and Coleman A. Baker, eds. T&amp;T Clark Handbook to Social Identity in the New Testament. London: T&amp;T Clark, 2014.</w:t>
            </w:r>
            <w:r>
              <w:rPr>
                <w:rFonts w:ascii="Gentium" w:hAnsi="Gentium"/>
                <w:sz w:val="22"/>
                <w:szCs w:val="22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</w:rPr>
            </w:r>
            <w:r>
              <w:rPr>
                <w:rFonts w:ascii="Gentium" w:hAnsi="Gentium"/>
                <w:sz w:val="22"/>
                <w:szCs w:val="22"/>
              </w:rPr>
            </w:r>
          </w:p>
        </w:tc>
      </w:tr>
    </w:tbl>
    <w:p>
      <w:pPr>
        <w:pBdr/>
        <w:spacing/>
        <w:ind/>
        <w:jc w:val="center"/>
        <w:rPr>
          <w:rFonts w:ascii="Gentium" w:hAnsi="Gentium"/>
          <w:b/>
          <w:sz w:val="22"/>
          <w:szCs w:val="22"/>
        </w:rPr>
      </w:pPr>
      <w:r>
        <w:rPr>
          <w:rFonts w:ascii="Gentium" w:hAnsi="Gentium"/>
          <w:b/>
          <w:sz w:val="22"/>
          <w:szCs w:val="22"/>
        </w:rPr>
      </w:r>
      <w:r>
        <w:rPr>
          <w:rFonts w:ascii="Gentium" w:hAnsi="Gentium"/>
          <w:b/>
          <w:sz w:val="22"/>
          <w:szCs w:val="22"/>
        </w:rPr>
      </w:r>
    </w:p>
    <w:p>
      <w:pPr>
        <w:pBdr/>
        <w:spacing/>
        <w:ind/>
        <w:rPr>
          <w:rFonts w:ascii="Gentium" w:hAnsi="Gentium"/>
          <w:b/>
          <w:bCs/>
        </w:rPr>
      </w:pPr>
      <w:r>
        <w:rPr>
          <w:rFonts w:ascii="Gentium" w:hAnsi="Gentium"/>
          <w:b/>
          <w:sz w:val="24"/>
          <w:szCs w:val="24"/>
        </w:rPr>
        <w:t xml:space="preserve">10. </w:t>
      </w:r>
      <w:r>
        <w:rPr>
          <w:rFonts w:ascii="Gentium" w:hAnsi="Gentium"/>
          <w:b/>
        </w:rPr>
        <w:t xml:space="preserve">Coroborarea conţinuturilor disciplinei cu aşteptările reprezentanţilor comunităţii epistemice, asociaţiilor  profesionale şi angajatori reprezentativi din domeniul aferent programului</w:t>
      </w:r>
      <w:r>
        <w:rPr>
          <w:rFonts w:ascii="Gentium" w:hAnsi="Gentium"/>
          <w:b/>
          <w:bCs/>
        </w:rPr>
      </w:r>
    </w:p>
    <w:p>
      <w:pPr>
        <w:pBdr/>
        <w:spacing/>
        <w:ind/>
        <w:rPr>
          <w:rFonts w:ascii="Gentium" w:hAnsi="Gentium"/>
          <w:b/>
          <w:bCs/>
          <w:sz w:val="24"/>
          <w:szCs w:val="24"/>
        </w:rPr>
      </w:pPr>
      <w:r>
        <w:rPr>
          <w:rFonts w:ascii="Gentium" w:hAnsi="Gentium"/>
          <w:b/>
          <w:bCs/>
          <w:sz w:val="24"/>
          <w:szCs w:val="24"/>
        </w:rPr>
      </w:r>
      <w:r>
        <w:rPr>
          <w:rFonts w:ascii="Gentium" w:hAnsi="Gentium"/>
          <w:b/>
          <w:bCs/>
          <w:sz w:val="24"/>
          <w:szCs w:val="24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10029"/>
      </w:tblGrid>
      <w:tr>
        <w:trPr/>
        <w:tc>
          <w:tcPr>
            <w:tcBorders/>
            <w:tcW w:w="10029" w:type="dxa"/>
          </w:tcPr>
          <w:p>
            <w:pPr>
              <w:numPr>
                <w:ilvl w:val="0"/>
                <w:numId w:val="13"/>
              </w:numPr>
              <w:pBdr/>
              <w:spacing/>
              <w:ind w:left="0"/>
              <w:rPr>
                <w:rFonts w:ascii="Gentium" w:hAnsi="Gentium"/>
                <w:sz w:val="24"/>
                <w:szCs w:val="24"/>
              </w:rPr>
            </w:pPr>
            <w:r>
              <w:rPr>
                <w:rFonts w:ascii="Gentium" w:hAnsi="Gentium"/>
                <w:lang w:val="en-US"/>
              </w:rPr>
              <w:t xml:space="preserve">Lucrările</w:t>
            </w:r>
            <w:r>
              <w:rPr>
                <w:rFonts w:ascii="Gentium" w:hAnsi="Gentium"/>
                <w:lang w:val="en-US"/>
              </w:rPr>
              <w:t xml:space="preserve"> de tip </w:t>
            </w:r>
            <w:r>
              <w:rPr>
                <w:rFonts w:ascii="Gentium" w:hAnsi="Gentium"/>
                <w:lang w:val="en-US"/>
              </w:rPr>
              <w:t xml:space="preserve">eseu</w:t>
            </w:r>
            <w:r>
              <w:rPr>
                <w:rFonts w:ascii="Gentium" w:hAnsi="Gentium"/>
                <w:lang w:val="en-US"/>
              </w:rPr>
              <w:t xml:space="preserve"> </w:t>
            </w:r>
            <w:r>
              <w:rPr>
                <w:rFonts w:ascii="Gentium" w:hAnsi="Gentium"/>
                <w:lang w:val="en-US"/>
              </w:rPr>
              <w:t xml:space="preserve">ştiinţific</w:t>
            </w:r>
            <w:r>
              <w:rPr>
                <w:rFonts w:ascii="Gentium" w:hAnsi="Gentium"/>
                <w:lang w:val="en-US"/>
              </w:rPr>
              <w:t xml:space="preserve">, s</w:t>
            </w:r>
            <w:r>
              <w:rPr>
                <w:rFonts w:ascii="Gentium" w:hAnsi="Gentium"/>
              </w:rPr>
              <w:t xml:space="preserve">tudiile de caz şi </w:t>
            </w:r>
            <w:r>
              <w:rPr>
                <w:rFonts w:ascii="Gentium" w:hAnsi="Gentium"/>
                <w:lang w:val="en-US"/>
              </w:rPr>
              <w:t xml:space="preserve">ale </w:t>
            </w:r>
            <w:r>
              <w:rPr>
                <w:rFonts w:ascii="Gentium" w:hAnsi="Gentium"/>
              </w:rPr>
              <w:t xml:space="preserve">lucrările practice se efectuează conform </w:t>
            </w:r>
            <w:r>
              <w:rPr>
                <w:rFonts w:ascii="Gentium" w:hAnsi="Gentium"/>
                <w:lang w:val="en-US"/>
              </w:rPr>
              <w:t xml:space="preserve">metodologiei</w:t>
            </w:r>
            <w:r>
              <w:rPr>
                <w:rFonts w:ascii="Gentium" w:hAnsi="Gentium"/>
                <w:lang w:val="en-US"/>
              </w:rPr>
              <w:t xml:space="preserve"> </w:t>
            </w:r>
            <w:r>
              <w:rPr>
                <w:rFonts w:ascii="Gentium" w:hAnsi="Gentium"/>
                <w:lang w:val="en-US"/>
              </w:rPr>
              <w:t xml:space="preserve">proprii</w:t>
            </w:r>
            <w:r>
              <w:rPr>
                <w:rFonts w:ascii="Gentium" w:hAnsi="Gentium"/>
                <w:lang w:val="en-US"/>
              </w:rPr>
              <w:t xml:space="preserve"> </w:t>
            </w:r>
            <w:r>
              <w:rPr>
                <w:rFonts w:ascii="Gentium" w:hAnsi="Gentium"/>
                <w:lang w:val="en-US"/>
              </w:rPr>
              <w:t xml:space="preserve">ştiinţelor</w:t>
            </w:r>
            <w:r>
              <w:rPr>
                <w:rFonts w:ascii="Gentium" w:hAnsi="Gentium"/>
                <w:lang w:val="en-US"/>
              </w:rPr>
              <w:t xml:space="preserve"> </w:t>
            </w:r>
            <w:r>
              <w:rPr>
                <w:rFonts w:ascii="Gentium" w:hAnsi="Gentium"/>
                <w:lang w:val="en-US"/>
              </w:rPr>
              <w:t xml:space="preserve">teologice</w:t>
            </w:r>
            <w:r>
              <w:rPr>
                <w:rFonts w:ascii="Gentium" w:hAnsi="Gentium"/>
                <w:lang w:val="en-US"/>
              </w:rPr>
              <w:t xml:space="preserve">, </w:t>
            </w:r>
            <w:r>
              <w:rPr>
                <w:rFonts w:ascii="Gentium" w:hAnsi="Gentium"/>
                <w:lang w:val="en-US"/>
              </w:rPr>
              <w:t xml:space="preserve">filozofice</w:t>
            </w:r>
            <w:r>
              <w:rPr>
                <w:rFonts w:ascii="Gentium" w:hAnsi="Gentium"/>
                <w:lang w:val="en-US"/>
              </w:rPr>
              <w:t xml:space="preserve"> </w:t>
            </w:r>
            <w:r>
              <w:rPr>
                <w:rFonts w:ascii="Gentium" w:hAnsi="Gentium"/>
                <w:lang w:val="en-US"/>
              </w:rPr>
              <w:t xml:space="preserve">şi</w:t>
            </w:r>
            <w:r>
              <w:rPr>
                <w:rFonts w:ascii="Gentium" w:hAnsi="Gentium"/>
                <w:lang w:val="en-US"/>
              </w:rPr>
              <w:t xml:space="preserve"> social – </w:t>
            </w:r>
            <w:r>
              <w:rPr>
                <w:rFonts w:ascii="Gentium" w:hAnsi="Gentium"/>
                <w:lang w:val="en-US"/>
              </w:rPr>
              <w:t xml:space="preserve">istorice</w:t>
            </w:r>
            <w:r>
              <w:rPr>
                <w:rFonts w:ascii="Gentium" w:hAnsi="Gentium"/>
                <w:lang w:val="en-US"/>
              </w:rPr>
              <w:t xml:space="preserve">.</w:t>
            </w:r>
            <w:r>
              <w:rPr>
                <w:rFonts w:ascii="Gentium" w:hAnsi="Gentium"/>
                <w:sz w:val="24"/>
                <w:szCs w:val="24"/>
              </w:rPr>
            </w:r>
          </w:p>
        </w:tc>
      </w:tr>
    </w:tbl>
    <w:p>
      <w:pPr>
        <w:pBdr/>
        <w:spacing/>
        <w:ind/>
        <w:jc w:val="center"/>
        <w:rPr>
          <w:rFonts w:ascii="Gentium" w:hAnsi="Gentium"/>
          <w:sz w:val="16"/>
          <w:szCs w:val="16"/>
        </w:rPr>
      </w:pPr>
      <w:r>
        <w:rPr>
          <w:rFonts w:ascii="Gentium" w:hAnsi="Gentium"/>
          <w:sz w:val="16"/>
          <w:szCs w:val="16"/>
        </w:rPr>
      </w:r>
      <w:r>
        <w:rPr>
          <w:rFonts w:ascii="Gentium" w:hAnsi="Gentium"/>
          <w:sz w:val="16"/>
          <w:szCs w:val="16"/>
        </w:rPr>
      </w:r>
    </w:p>
    <w:p>
      <w:pPr>
        <w:pBdr/>
        <w:tabs>
          <w:tab w:val="center" w:leader="none" w:pos="4873"/>
        </w:tabs>
        <w:spacing/>
        <w:ind/>
        <w:rPr>
          <w:rFonts w:ascii="Gentium" w:hAnsi="Gentium"/>
          <w:b/>
        </w:rPr>
      </w:pPr>
      <w:r>
        <w:rPr>
          <w:rFonts w:ascii="Gentium" w:hAnsi="Gentium"/>
          <w:b/>
        </w:rPr>
        <w:t xml:space="preserve">11. Evaluare</w:t>
      </w:r>
      <w:r>
        <w:rPr>
          <w:rFonts w:ascii="Gentium" w:hAnsi="Gentium"/>
          <w:b/>
        </w:rPr>
        <w:tab/>
      </w:r>
      <w:r>
        <w:rPr>
          <w:rFonts w:ascii="Gentium" w:hAnsi="Gentium"/>
          <w:b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553"/>
        <w:gridCol w:w="2233"/>
        <w:gridCol w:w="3686"/>
        <w:gridCol w:w="1490"/>
      </w:tblGrid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3" w:type="dxa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Tip activitate</w:t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</w:tcPr>
          <w:p>
            <w:pPr>
              <w:pBdr/>
              <w:spacing/>
              <w:ind w:right="-154" w:left="46"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11.1 Tip de evaluare</w:t>
            </w:r>
            <w:r>
              <w:rPr>
                <w:rFonts w:ascii="Gentium" w:hAnsi="Gentium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6" w:type="dxa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11.2 Metode de evaluare</w:t>
            </w:r>
            <w:r>
              <w:rPr>
                <w:rFonts w:ascii="Gentium" w:hAnsi="Gentium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0" w:type="dxa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11.3 Pondere din nota finală</w:t>
            </w:r>
            <w:r>
              <w:rPr>
                <w:rFonts w:ascii="Gentium" w:hAnsi="Gentium"/>
              </w:rPr>
            </w:r>
          </w:p>
        </w:tc>
      </w:tr>
      <w:tr>
        <w:trPr>
          <w:trHeight w:val="135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3" w:type="dxa"/>
            <w:vMerge w:val="restart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11.4 Curs</w:t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</w:tcPr>
          <w:p>
            <w:pPr>
              <w:pBdr/>
              <w:spacing/>
              <w:ind/>
              <w:rPr>
                <w:rFonts w:ascii="Gentium" w:hAnsi="Gentium"/>
                <w:i/>
              </w:rPr>
            </w:pPr>
            <w:r>
              <w:rPr>
                <w:rFonts w:ascii="Gentium" w:hAnsi="Gentium"/>
                <w:i/>
              </w:rPr>
              <w:t xml:space="preserve">Evaluare finală </w:t>
            </w:r>
            <w:r>
              <w:rPr>
                <w:rFonts w:ascii="Gentium" w:hAnsi="Gentium"/>
                <w:i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6" w:type="dxa"/>
          </w:tcPr>
          <w:p>
            <w:pPr>
              <w:pBdr/>
              <w:spacing/>
              <w:ind/>
              <w:rPr>
                <w:rFonts w:ascii="Gentium" w:hAnsi="Gentium"/>
                <w:i/>
              </w:rPr>
            </w:pPr>
            <w:r>
              <w:rPr>
                <w:rFonts w:ascii="Gentium" w:hAnsi="Gentium"/>
                <w:i/>
              </w:rPr>
              <w:t xml:space="preserve">Examen practic și/sau oral </w:t>
            </w:r>
            <w:r>
              <w:rPr>
                <w:rFonts w:ascii="Gentium" w:hAnsi="Gentium"/>
                <w:i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0" w:type="dxa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60%</w:t>
            </w:r>
            <w:r>
              <w:rPr>
                <w:rFonts w:ascii="Gentium" w:hAnsi="Gentium"/>
              </w:rPr>
            </w:r>
          </w:p>
        </w:tc>
      </w:tr>
      <w:tr>
        <w:trPr>
          <w:trHeight w:val="55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vMerge w:val="continue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vMerge w:val="restart"/>
          </w:tcPr>
          <w:p>
            <w:pPr>
              <w:pBdr/>
              <w:spacing/>
              <w:ind/>
              <w:rPr>
                <w:rFonts w:ascii="Gentium" w:hAnsi="Gentium"/>
                <w:i/>
              </w:rPr>
            </w:pPr>
            <w:r>
              <w:rPr>
                <w:rFonts w:ascii="Gentium" w:hAnsi="Gentium"/>
                <w:i/>
              </w:rPr>
            </w:r>
            <w:r>
              <w:rPr>
                <w:rFonts w:ascii="Gentium" w:hAnsi="Gentium"/>
                <w:i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6" w:type="dxa"/>
          </w:tcPr>
          <w:p>
            <w:pPr>
              <w:pBdr/>
              <w:spacing/>
              <w:ind/>
              <w:rPr>
                <w:rFonts w:ascii="Gentium" w:hAnsi="Gentium"/>
                <w:i/>
              </w:rPr>
            </w:pPr>
            <w:r>
              <w:rPr>
                <w:rFonts w:ascii="Gentium" w:hAnsi="Gentium"/>
                <w:i/>
              </w:rPr>
              <w:t xml:space="preserve">Verificarea calităţii lucrărilor practice realizate pe parcursul semestrului</w:t>
            </w:r>
            <w:r>
              <w:rPr>
                <w:rFonts w:ascii="Gentium" w:hAnsi="Gentium"/>
                <w:i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0" w:type="dxa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  <w:lang w:val="en-US"/>
              </w:rPr>
              <w:t xml:space="preserve">20</w:t>
            </w:r>
            <w:r>
              <w:rPr>
                <w:rFonts w:ascii="Gentium" w:hAnsi="Gentium"/>
              </w:rPr>
              <w:t xml:space="preserve">%</w:t>
            </w:r>
            <w:r>
              <w:rPr>
                <w:rFonts w:ascii="Gentium" w:hAnsi="Gentium"/>
              </w:rPr>
            </w:r>
          </w:p>
        </w:tc>
      </w:tr>
      <w:tr>
        <w:trPr>
          <w:trHeight w:val="135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3" w:type="dxa"/>
            <w:vMerge w:val="restart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11.5 Seminar/laborator</w:t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vMerge w:val="restart"/>
          </w:tcPr>
          <w:p>
            <w:pPr>
              <w:pBdr/>
              <w:spacing/>
              <w:ind/>
              <w:rPr>
                <w:rFonts w:ascii="Gentium" w:hAnsi="Gentium"/>
                <w:i/>
              </w:rPr>
            </w:pPr>
            <w:r>
              <w:rPr>
                <w:rFonts w:ascii="Gentium" w:hAnsi="Gentium"/>
                <w:i/>
              </w:rPr>
              <w:t xml:space="preserve">Evaluare pe parcurs</w:t>
            </w:r>
            <w:r>
              <w:rPr>
                <w:rFonts w:ascii="Gentium" w:hAnsi="Gentium"/>
                <w:i/>
              </w:rPr>
            </w:r>
          </w:p>
          <w:p>
            <w:pPr>
              <w:pBdr/>
              <w:spacing/>
              <w:ind/>
              <w:rPr>
                <w:rFonts w:ascii="Gentium" w:hAnsi="Gentium"/>
                <w:i/>
              </w:rPr>
            </w:pPr>
            <w:r>
              <w:rPr>
                <w:rFonts w:ascii="Gentium" w:hAnsi="Gentium"/>
                <w:i/>
              </w:rPr>
            </w:r>
            <w:r>
              <w:rPr>
                <w:rFonts w:ascii="Gentium" w:hAnsi="Gentium"/>
                <w:i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6" w:type="dxa"/>
          </w:tcPr>
          <w:p>
            <w:pPr>
              <w:pBdr/>
              <w:spacing/>
              <w:ind/>
              <w:rPr>
                <w:rFonts w:ascii="Gentium" w:hAnsi="Gentium"/>
                <w:i/>
              </w:rPr>
            </w:pPr>
            <w:r>
              <w:rPr>
                <w:rFonts w:ascii="Gentium" w:hAnsi="Gentium"/>
                <w:i/>
              </w:rPr>
              <w:t xml:space="preserve">Verificarea prezenţei şi a implicării în activităţile de seminar semestriale</w:t>
            </w:r>
            <w:r>
              <w:rPr>
                <w:rFonts w:ascii="Gentium" w:hAnsi="Gentium"/>
                <w:i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0" w:type="dxa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  <w:lang w:val="en-US"/>
              </w:rPr>
              <w:t xml:space="preserve">2</w:t>
            </w:r>
            <w:r>
              <w:rPr>
                <w:rFonts w:ascii="Gentium" w:hAnsi="Gentium"/>
              </w:rPr>
              <w:t xml:space="preserve">0%</w:t>
            </w:r>
            <w:r>
              <w:rPr>
                <w:rFonts w:ascii="Gentium" w:hAnsi="Gentium"/>
              </w:rPr>
            </w:r>
          </w:p>
        </w:tc>
      </w:tr>
      <w:tr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62" w:type="dxa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11.6 Standard minim de performanţă:</w:t>
            </w:r>
            <w:r>
              <w:rPr>
                <w:rFonts w:ascii="Gentium" w:hAnsi="Gentium"/>
              </w:rPr>
              <w:t xml:space="preserve"> Cunoașterea definițiilor pentru cultură, a principalelor teorii despre comunicare, și </w:t>
            </w:r>
            <w:r>
              <w:rPr>
                <w:rFonts w:ascii="Gentium" w:hAnsi="Gentium"/>
                <w:lang w:val="en-US"/>
              </w:rPr>
              <w:t xml:space="preserve">a </w:t>
            </w:r>
            <w:r>
              <w:rPr>
                <w:rFonts w:ascii="Gentium" w:hAnsi="Gentium"/>
                <w:lang w:val="en-US"/>
              </w:rPr>
              <w:t xml:space="preserve">teoriilor</w:t>
            </w:r>
            <w:r>
              <w:rPr>
                <w:rFonts w:ascii="Gentium" w:hAnsi="Gentium"/>
                <w:lang w:val="en-US"/>
              </w:rPr>
              <w:t xml:space="preserve"> de </w:t>
            </w:r>
            <w:r>
              <w:rPr>
                <w:rFonts w:ascii="Gentium" w:hAnsi="Gentium"/>
                <w:lang w:val="en-US"/>
              </w:rPr>
              <w:t xml:space="preserve">identitate</w:t>
            </w:r>
            <w:r>
              <w:rPr>
                <w:rFonts w:ascii="Gentium" w:hAnsi="Gentium"/>
                <w:lang w:val="en-US"/>
              </w:rPr>
              <w:t xml:space="preserve">, </w:t>
            </w:r>
            <w:r>
              <w:rPr>
                <w:rFonts w:ascii="Gentium" w:hAnsi="Gentium"/>
                <w:lang w:val="en-US"/>
              </w:rPr>
              <w:t xml:space="preserve">structură</w:t>
            </w:r>
            <w:r>
              <w:rPr>
                <w:rFonts w:ascii="Gentium" w:hAnsi="Gentium"/>
                <w:lang w:val="en-US"/>
              </w:rPr>
              <w:t xml:space="preserve"> </w:t>
            </w:r>
            <w:r>
              <w:rPr>
                <w:rFonts w:ascii="Gentium" w:hAnsi="Gentium"/>
                <w:lang w:val="en-US"/>
              </w:rPr>
              <w:t xml:space="preserve">și</w:t>
            </w:r>
            <w:r>
              <w:rPr>
                <w:rFonts w:ascii="Gentium" w:hAnsi="Gentium"/>
                <w:lang w:val="en-US"/>
              </w:rPr>
              <w:t xml:space="preserve"> </w:t>
            </w:r>
            <w:r>
              <w:rPr>
                <w:rFonts w:ascii="Gentium" w:hAnsi="Gentium"/>
                <w:lang w:val="en-US"/>
              </w:rPr>
              <w:t xml:space="preserve">dinamică</w:t>
            </w:r>
            <w:r>
              <w:rPr>
                <w:rFonts w:ascii="Gentium" w:hAnsi="Gentium"/>
                <w:lang w:val="en-US"/>
              </w:rPr>
              <w:t xml:space="preserve"> </w:t>
            </w:r>
            <w:r>
              <w:rPr>
                <w:rFonts w:ascii="Gentium" w:hAnsi="Gentium"/>
                <w:lang w:val="en-US"/>
              </w:rPr>
              <w:t xml:space="preserve">comunitară</w:t>
            </w:r>
            <w:r>
              <w:rPr>
                <w:rFonts w:ascii="Gentium" w:hAnsi="Gentium"/>
                <w:lang w:val="en-US"/>
              </w:rPr>
              <w:t xml:space="preserve">.</w:t>
            </w:r>
            <w:r>
              <w:rPr>
                <w:rFonts w:ascii="Gentium" w:hAnsi="Gentium"/>
              </w:rPr>
            </w:r>
          </w:p>
        </w:tc>
      </w:tr>
    </w:tbl>
    <w:p>
      <w:pPr>
        <w:pBdr/>
        <w:spacing/>
        <w:ind/>
        <w:jc w:val="center"/>
        <w:rPr>
          <w:rFonts w:ascii="Gentium" w:hAnsi="Gentium"/>
          <w:sz w:val="12"/>
          <w:szCs w:val="16"/>
        </w:rPr>
      </w:pPr>
      <w:r>
        <w:rPr>
          <w:rFonts w:ascii="Gentium" w:hAnsi="Gentium"/>
          <w:sz w:val="12"/>
          <w:szCs w:val="16"/>
        </w:rPr>
      </w:r>
      <w:r>
        <w:rPr>
          <w:rFonts w:ascii="Gentium" w:hAnsi="Gentium"/>
          <w:sz w:val="12"/>
          <w:szCs w:val="16"/>
        </w:rPr>
      </w:r>
    </w:p>
    <w:p>
      <w:pPr>
        <w:pBdr/>
        <w:tabs>
          <w:tab w:val="center" w:leader="none" w:pos="4873"/>
        </w:tabs>
        <w:spacing/>
        <w:ind/>
        <w:rPr>
          <w:rFonts w:ascii="Gentium" w:hAnsi="Gentium"/>
        </w:rPr>
      </w:pPr>
      <w:r>
        <w:rPr>
          <w:rFonts w:ascii="Gentium" w:hAnsi="Gentium"/>
        </w:rPr>
        <w:t xml:space="preserve">          </w:t>
      </w:r>
      <w:r>
        <w:rPr>
          <w:rFonts w:ascii="Gentium" w:hAnsi="Gentium"/>
          <w:lang w:val="en-US"/>
        </w:rPr>
        <w:t xml:space="preserve">  </w:t>
      </w:r>
      <w:r>
        <w:rPr>
          <w:rFonts w:ascii="Gentium" w:hAnsi="Gentium"/>
        </w:rPr>
      </w:r>
    </w:p>
    <w:p>
      <w:pPr>
        <w:pBdr/>
        <w:spacing/>
        <w:ind/>
        <w:rPr>
          <w:rFonts w:ascii="Gentium" w:hAnsi="Gentium"/>
          <w:highlight w:val="none"/>
        </w:rPr>
      </w:pPr>
      <w:r>
        <w:rPr>
          <w:rFonts w:ascii="Gentium" w:hAnsi="Gentium"/>
          <w:lang w:val="en-US"/>
        </w:rPr>
        <w:t xml:space="preserve">     </w:t>
      </w:r>
      <w:r>
        <w:rPr>
          <w:rFonts w:ascii="Gentium" w:hAnsi="Gentium"/>
        </w:rPr>
        <w:t xml:space="preserve">  </w:t>
      </w:r>
      <w:r>
        <w:rPr>
          <w:rFonts w:ascii="Gentium" w:hAnsi="Gentium"/>
          <w:lang w:val="en-US"/>
        </w:rPr>
        <w:t xml:space="preserve">  </w:t>
      </w:r>
      <w:r>
        <w:rPr>
          <w:rFonts w:ascii="Gentium" w:hAnsi="Gentium"/>
        </w:rPr>
        <w:t xml:space="preserve">Data completării</w:t>
      </w:r>
      <w:r>
        <w:rPr>
          <w:rFonts w:ascii="Gentium" w:hAnsi="Gentium"/>
        </w:rPr>
        <w:tab/>
        <w:t xml:space="preserve">                                      Semnătura titularului de curs</w:t>
      </w:r>
      <w:r>
        <w:rPr>
          <w:rFonts w:ascii="Gentium" w:hAnsi="Gentium"/>
        </w:rPr>
      </w:r>
    </w:p>
    <w:p>
      <w:pPr>
        <w:pBdr/>
        <w:spacing/>
        <w:ind/>
        <w:rPr>
          <w:rFonts w:ascii="Gentium" w:hAnsi="Gentium"/>
          <w:lang w:val="en-US"/>
        </w:rPr>
      </w:pPr>
      <w:r>
        <w:rPr>
          <w:rFonts w:ascii="Gentium" w:hAnsi="Gentium"/>
        </w:rPr>
        <w:t xml:space="preserve">         </w:t>
      </w:r>
      <w:r>
        <w:rPr>
          <w:rFonts w:ascii="Gentium" w:hAnsi="Gentium"/>
          <w:lang w:val="en-US"/>
        </w:rPr>
        <w:t xml:space="preserve">08</w:t>
      </w:r>
      <w:r>
        <w:rPr>
          <w:rFonts w:ascii="Gentium" w:hAnsi="Gentium"/>
        </w:rPr>
        <w:t xml:space="preserve">.</w:t>
      </w:r>
      <w:r>
        <w:rPr>
          <w:rFonts w:ascii="Gentium" w:hAnsi="Gentium"/>
        </w:rPr>
        <w:t xml:space="preserve">11</w:t>
      </w:r>
      <w:r>
        <w:rPr>
          <w:rFonts w:ascii="Gentium" w:hAnsi="Gentium"/>
        </w:rPr>
        <w:t xml:space="preserve">.202</w:t>
      </w:r>
      <w:r>
        <w:rPr>
          <w:rFonts w:ascii="Gentium" w:hAnsi="Gentium"/>
          <w:lang w:val="en-US"/>
        </w:rPr>
        <w:t xml:space="preserve">4                                                           </w:t>
      </w:r>
      <w:r>
        <w:rPr>
          <w:rFonts w:ascii="Gentium" w:hAnsi="Gentium"/>
          <w:lang w:val="en-US"/>
        </w:rPr>
      </w:r>
      <w:r>
        <w:rPr>
          <w:rFonts w:ascii="Gentium" w:hAnsi="Gentium"/>
          <w:lang w:val="en-US"/>
        </w:rPr>
        <w:t xml:space="preserve">          </w:t>
      </w:r>
      <w:r>
        <w:rPr>
          <w:rFonts w:ascii="Gentium" w:hAnsi="Gentium"/>
          <w:lang w:val="en-US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810895" cy="167005"/>
                <wp:effectExtent l="0" t="0" r="0" b="0"/>
                <wp:docPr id="4" name="Picture 1" descr="D:\on-date-projects\masterat-iunie-24\0-dosar-calitate-ARACIS\anexe-template\semnatura-ob\obsig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73436914" name="Picture 1" descr="D:\on-date-projects\masterat-iunie-24\0-dosar-calitate-ARACIS\anexe-template\semnatura-ob\obsig3.jpg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6"/>
                        <a:stretch/>
                      </pic:blipFill>
                      <pic:spPr bwMode="auto">
                        <a:xfrm rot="0" flipH="0" flipV="0">
                          <a:off x="0" y="0"/>
                          <a:ext cx="810894" cy="16700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" o:spid="_x0000_s3" type="#_x0000_t75" style="width:63.85pt;height:13.15pt;mso-wrap-distance-left:0.00pt;mso-wrap-distance-top:0.00pt;mso-wrap-distance-right:0.00pt;mso-wrap-distance-bottom:0.00pt;rotation:0;z-index:1;" stroked="f" strokeweight="0.75pt">
                <v:imagedata r:id="rId16" o:title=""/>
                <o:lock v:ext="edit" rotation="t"/>
              </v:shape>
            </w:pict>
          </mc:Fallback>
        </mc:AlternateContent>
      </w:r>
      <w:r>
        <w:rPr>
          <w:rFonts w:ascii="Gentium" w:hAnsi="Gentium"/>
        </w:rPr>
        <w:t xml:space="preserve">    </w:t>
      </w:r>
      <w:r>
        <w:rPr>
          <w:rFonts w:ascii="Gentium" w:hAnsi="Gentium"/>
        </w:rPr>
      </w:r>
      <w:r>
        <w:rPr>
          <w:rFonts w:ascii="Gentium" w:hAnsi="Gentium"/>
          <w:lang w:val="en-US"/>
        </w:rPr>
      </w:r>
    </w:p>
    <w:p w14:paraId="3DE53752">
      <w:pPr>
        <w:pBdr/>
        <w:spacing/>
        <w:ind/>
        <w:rPr>
          <w:rFonts w:ascii="Gentium" w:hAnsi="Gentium"/>
        </w:rPr>
      </w:pPr>
      <w:r>
        <w:rPr>
          <w:rFonts w:ascii="Gentium" w:hAnsi="Gentium"/>
          <w:lang w:val="en-US"/>
        </w:rPr>
        <w:t xml:space="preserve">                                                                                     </w:t>
      </w:r>
      <w:r>
        <w:rPr>
          <w:rFonts w:ascii="Gentium" w:hAnsi="Gentium"/>
        </w:rPr>
        <w:t xml:space="preserve">  </w:t>
      </w:r>
      <w:r>
        <w:rPr>
          <w:rFonts w:ascii="Gentium" w:hAnsi="Gentium"/>
          <w:lang w:val="en-US"/>
        </w:rPr>
        <w:t xml:space="preserve">...........</w:t>
      </w:r>
      <w:r>
        <w:rPr>
          <w:rFonts w:ascii="Gentium" w:hAnsi="Gentium"/>
        </w:rPr>
        <w:t xml:space="preserve">.................................................</w:t>
      </w:r>
      <w:r>
        <w:rPr>
          <w:rFonts w:ascii="Gentium" w:hAnsi="Gentium"/>
          <w:lang w:val="en-US"/>
        </w:rPr>
        <w:t xml:space="preserve">......</w:t>
      </w:r>
      <w:r>
        <w:rPr>
          <w:rFonts w:ascii="Gentium" w:hAnsi="Gentium"/>
        </w:rPr>
        <w:tab/>
      </w:r>
      <w:r/>
      <w:r/>
    </w:p>
    <w:p>
      <w:pPr>
        <w:pBdr/>
        <w:spacing/>
        <w:ind/>
        <w:jc w:val="center"/>
        <w:rPr>
          <w:rFonts w:ascii="Gentium" w:hAnsi="Gentium"/>
          <w:sz w:val="12"/>
        </w:rPr>
      </w:pPr>
      <w:r>
        <w:rPr>
          <w:rFonts w:ascii="Gentium" w:hAnsi="Gentium"/>
          <w:sz w:val="12"/>
        </w:rPr>
      </w:r>
      <w:r>
        <w:rPr>
          <w:rFonts w:ascii="Gentium" w:hAnsi="Gentium"/>
          <w:sz w:val="12"/>
        </w:rPr>
      </w:r>
    </w:p>
    <w:p>
      <w:pPr>
        <w:pBdr/>
        <w:spacing/>
        <w:ind/>
        <w:rPr>
          <w:rFonts w:ascii="Gentium" w:hAnsi="Gentium"/>
          <w:highlight w:val="none"/>
        </w:rPr>
      </w:pPr>
      <w:r>
        <w:rPr>
          <w:rFonts w:ascii="Gentium" w:hAnsi="Gentium"/>
        </w:rPr>
        <w:tab/>
        <w:t xml:space="preserve">                                                                             Semnătura titularului de seminar</w:t>
      </w:r>
      <w:r>
        <w:rPr>
          <w:rFonts w:ascii="Gentium" w:hAnsi="Gentium"/>
        </w:rPr>
      </w:r>
    </w:p>
    <w:p w14:paraId="391215BF">
      <w:pPr>
        <w:pBdr/>
        <w:spacing/>
        <w:ind/>
        <w:rPr>
          <w:rFonts w:ascii="Gentium" w:hAnsi="Gentium"/>
        </w:rPr>
      </w:pPr>
      <w:r>
        <w:rPr>
          <w:rFonts w:ascii="Gentium" w:hAnsi="Gentium"/>
          <w:highlight w:val="none"/>
          <w:lang w:val="en-US"/>
        </w:rPr>
        <w:t xml:space="preserve">                                                                                                               </w:t>
      </w:r>
      <w:r>
        <w:rPr>
          <w:rFonts w:ascii="Gentium" w:hAnsi="Gentium"/>
          <w:lang w:val="en-US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810895" cy="167005"/>
                <wp:effectExtent l="0" t="0" r="0" b="0"/>
                <wp:docPr id="5" name="Picture 1" descr="D:\on-date-projects\masterat-iunie-24\0-dosar-calitate-ARACIS\anexe-template\semnatura-ob\obsig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7947755" name="Picture 1" descr="D:\on-date-projects\masterat-iunie-24\0-dosar-calitate-ARACIS\anexe-template\semnatura-ob\obsig3.jpg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6"/>
                        <a:stretch/>
                      </pic:blipFill>
                      <pic:spPr bwMode="auto">
                        <a:xfrm rot="0" flipH="0" flipV="0">
                          <a:off x="0" y="0"/>
                          <a:ext cx="810894" cy="16700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4" o:spid="_x0000_s4" type="#_x0000_t75" style="width:63.85pt;height:13.15pt;mso-wrap-distance-left:0.00pt;mso-wrap-distance-top:0.00pt;mso-wrap-distance-right:0.00pt;mso-wrap-distance-bottom:0.00pt;rotation:0;z-index:1;" stroked="f" strokeweight="0.75pt">
                <v:imagedata r:id="rId16" o:title=""/>
                <o:lock v:ext="edit" rotation="t"/>
              </v:shape>
            </w:pict>
          </mc:Fallback>
        </mc:AlternateContent>
      </w:r>
      <w:r/>
      <w:r>
        <w:rPr>
          <w:rFonts w:ascii="Gentium" w:hAnsi="Gentium"/>
          <w:highlight w:val="none"/>
          <w:lang w:val="en-US"/>
        </w:rPr>
      </w:r>
      <w:r>
        <w:rPr>
          <w:rFonts w:ascii="Gentium" w:hAnsi="Gentium"/>
          <w:highlight w:val="none"/>
        </w:rPr>
      </w:r>
      <w:r>
        <w:rPr>
          <w:rFonts w:ascii="Gentium" w:hAnsi="Gentium"/>
          <w:highlight w:val="none"/>
        </w:rPr>
      </w:r>
    </w:p>
    <w:p>
      <w:pPr>
        <w:pBdr/>
        <w:spacing/>
        <w:ind/>
        <w:rPr>
          <w:rFonts w:ascii="Gentium" w:hAnsi="Gentium"/>
        </w:rPr>
      </w:pPr>
      <w:r>
        <w:rPr>
          <w:rFonts w:ascii="Gentium" w:hAnsi="Gentium"/>
        </w:rPr>
        <w:t xml:space="preserve">                                                                                       </w:t>
      </w:r>
      <w:r>
        <w:rPr>
          <w:rFonts w:ascii="Gentium" w:hAnsi="Gentium"/>
          <w:lang w:val="en-US"/>
        </w:rPr>
        <w:t xml:space="preserve">...........</w:t>
      </w:r>
      <w:r>
        <w:rPr>
          <w:rFonts w:ascii="Gentium" w:hAnsi="Gentium"/>
        </w:rPr>
        <w:t xml:space="preserve">.................................................</w:t>
      </w:r>
      <w:r>
        <w:rPr>
          <w:rFonts w:ascii="Gentium" w:hAnsi="Gentium"/>
          <w:lang w:val="en-US"/>
        </w:rPr>
        <w:t xml:space="preserve">......</w:t>
      </w:r>
      <w:r>
        <w:rPr>
          <w:rFonts w:ascii="Gentium" w:hAnsi="Gentium"/>
        </w:rPr>
      </w:r>
    </w:p>
    <w:p>
      <w:pPr>
        <w:pBdr/>
        <w:tabs>
          <w:tab w:val="center" w:leader="none" w:pos="4873"/>
        </w:tabs>
        <w:spacing/>
        <w:ind w:firstLine="708"/>
        <w:rPr>
          <w:rFonts w:ascii="Gentium" w:hAnsi="Gentium"/>
          <w:sz w:val="12"/>
        </w:rPr>
      </w:pPr>
      <w:r>
        <w:rPr>
          <w:rFonts w:ascii="Gentium" w:hAnsi="Gentium"/>
        </w:rPr>
        <w:t xml:space="preserve">  </w:t>
      </w:r>
      <w:r>
        <w:rPr>
          <w:rFonts w:ascii="Gentium" w:hAnsi="Gentium"/>
          <w:sz w:val="12"/>
        </w:rPr>
        <w:tab/>
      </w:r>
      <w:r>
        <w:rPr>
          <w:rFonts w:ascii="Gentium" w:hAnsi="Gentium"/>
          <w:sz w:val="12"/>
        </w:rPr>
      </w:r>
    </w:p>
    <w:p>
      <w:pPr>
        <w:pBdr/>
        <w:spacing/>
        <w:ind/>
        <w:rPr>
          <w:rFonts w:ascii="Gentium" w:hAnsi="Gentium"/>
        </w:rPr>
      </w:pPr>
      <w:r>
        <w:rPr>
          <w:rFonts w:ascii="Gentium" w:hAnsi="Gentium"/>
        </w:rPr>
        <w:t xml:space="preserve">        Data avizării în departament</w:t>
      </w:r>
      <w:r>
        <w:rPr>
          <w:rFonts w:ascii="Gentium" w:hAnsi="Gentium"/>
        </w:rPr>
        <w:tab/>
      </w:r>
      <w:r>
        <w:rPr>
          <w:rFonts w:ascii="Gentium" w:hAnsi="Gentium"/>
        </w:rPr>
        <w:tab/>
        <w:t xml:space="preserve">         Semnătura directorului de departament</w:t>
      </w:r>
      <w:r>
        <w:rPr>
          <w:rFonts w:ascii="Gentium" w:hAnsi="Gentium"/>
        </w:rPr>
        <w:tab/>
      </w:r>
      <w:r>
        <w:rPr>
          <w:rFonts w:ascii="Gentium" w:hAnsi="Gentium"/>
        </w:rPr>
      </w:r>
    </w:p>
    <w:p>
      <w:pPr>
        <w:pBdr/>
        <w:spacing/>
        <w:ind/>
        <w:rPr>
          <w:rFonts w:ascii="Gentium" w:hAnsi="Gentium"/>
        </w:rPr>
      </w:pPr>
      <w:r>
        <w:rPr>
          <w:rFonts w:ascii="Gentium" w:hAnsi="Gentium"/>
        </w:rPr>
        <w:t xml:space="preserve">        13.11.2024                                                                           </w:t>
      </w:r>
      <w:r>
        <w:rPr>
          <w:rFonts w:ascii="Gentium" w:hAnsi="Gentium"/>
          <w:lang w:val="en-US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810895" cy="167005"/>
                <wp:effectExtent l="19050" t="0" r="8255" b="0"/>
                <wp:docPr id="6" name="Picture 1" descr="D:\on-date-projects\masterat-iunie-24\0-dosar-calitate-ARACIS\anexe-template\semnatura-ob\obsig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:\on-date-projects\masterat-iunie-24\0-dosar-calitate-ARACIS\anexe-template\semnatura-ob\obsig3.jpg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810895" cy="1670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5" o:spid="_x0000_s5" type="#_x0000_t75" style="width:63.85pt;height:13.15pt;mso-wrap-distance-left:0.00pt;mso-wrap-distance-top:0.00pt;mso-wrap-distance-right:0.00pt;mso-wrap-distance-bottom:0.00pt;z-index:1;" stroked="f" strokeweight="0.75pt">
                <v:imagedata r:id="rId16" o:title=""/>
                <o:lock v:ext="edit" rotation="t"/>
              </v:shape>
            </w:pict>
          </mc:Fallback>
        </mc:AlternateContent>
      </w:r>
      <w:r>
        <w:rPr>
          <w:rFonts w:ascii="Gentium" w:hAnsi="Gentium"/>
        </w:rPr>
      </w:r>
    </w:p>
    <w:p>
      <w:pPr>
        <w:pBdr/>
        <w:spacing/>
        <w:ind/>
        <w:rPr>
          <w:rFonts w:ascii="Gentium" w:hAnsi="Gentium"/>
        </w:rPr>
      </w:pPr>
      <w:r>
        <w:rPr>
          <w:rFonts w:ascii="Gentium" w:hAnsi="Gentium"/>
        </w:rPr>
        <w:t xml:space="preserve">        </w:t>
      </w:r>
      <w:r>
        <w:rPr>
          <w:rFonts w:ascii="Gentium" w:hAnsi="Gentium"/>
          <w:lang w:val="en-US"/>
        </w:rPr>
        <w:t xml:space="preserve">...........</w:t>
      </w:r>
      <w:r>
        <w:rPr>
          <w:rFonts w:ascii="Gentium" w:hAnsi="Gentium"/>
        </w:rPr>
        <w:t xml:space="preserve">.................................................</w:t>
      </w:r>
      <w:r>
        <w:rPr>
          <w:rFonts w:ascii="Gentium" w:hAnsi="Gentium"/>
          <w:lang w:val="en-US"/>
        </w:rPr>
        <w:t xml:space="preserve">......</w:t>
      </w:r>
      <w:r>
        <w:rPr>
          <w:rFonts w:ascii="Gentium" w:hAnsi="Gentium"/>
        </w:rPr>
        <w:t xml:space="preserve">           </w:t>
      </w:r>
      <w:r>
        <w:rPr>
          <w:rFonts w:ascii="Gentium" w:hAnsi="Gentium"/>
          <w:lang w:val="en-US"/>
        </w:rPr>
        <w:t xml:space="preserve">...........</w:t>
      </w:r>
      <w:r>
        <w:rPr>
          <w:rFonts w:ascii="Gentium" w:hAnsi="Gentium"/>
        </w:rPr>
        <w:t xml:space="preserve">.................................................</w:t>
      </w:r>
      <w:r>
        <w:rPr>
          <w:rFonts w:ascii="Gentium" w:hAnsi="Gentium"/>
          <w:lang w:val="en-US"/>
        </w:rPr>
        <w:t xml:space="preserve">......</w:t>
      </w:r>
      <w:r>
        <w:rPr>
          <w:rFonts w:ascii="Gentium" w:hAnsi="Gentium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continuous"/>
      <w:pgSz w:h="16840" w:orient="portrait" w:w="11907"/>
      <w:pgMar w:top="567" w:right="567" w:bottom="180" w:left="1418" w:header="567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-Italic-Bold">
    <w:panose1 w:val="020B0604020202020204"/>
  </w:font>
  <w:font w:name="Arial-Italic-Bold">
    <w:panose1 w:val="020B0604020202020204"/>
  </w:font>
  <w:font w:name="Albertus Medium">
    <w:panose1 w:val="020E0602030304020304"/>
  </w:font>
  <w:font w:name="Gentium">
    <w:panose1 w:val="02000503060000020004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55"/>
      <w:pBdr/>
      <w:spacing/>
      <w:ind/>
      <w:rPr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55"/>
      <w:pBdr/>
      <w:spacing/>
      <w:ind/>
      <w:rPr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55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/>
      <w:spacing/>
      <w:ind w:left="851"/>
      <w:rPr>
        <w:rFonts w:ascii="Arial" w:hAnsi="Arial" w:cs="Arial"/>
        <w:b/>
        <w:bCs/>
        <w:color w:val="000041"/>
        <w:sz w:val="30"/>
        <w:szCs w:val="30"/>
      </w:rPr>
    </w:pPr>
    <w:r>
      <w:rPr>
        <w:b/>
        <w:bCs/>
        <w:color w:val="000041"/>
        <w:sz w:val="30"/>
        <w:szCs w:val="30"/>
        <w:lang w:val="en-US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502790656" behindDoc="0" locked="0" layoutInCell="1" allowOverlap="1">
              <wp:simplePos x="0" y="0"/>
              <wp:positionH relativeFrom="column">
                <wp:posOffset>-477519</wp:posOffset>
              </wp:positionH>
              <wp:positionV relativeFrom="paragraph">
                <wp:posOffset>-3809</wp:posOffset>
              </wp:positionV>
              <wp:extent cx="918845" cy="914400"/>
              <wp:effectExtent l="0" t="0" r="0" b="0"/>
              <wp:wrapNone/>
              <wp:docPr id="1" name="_x0000_i0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 descr=""/>
                      <pic:cNvPicPr/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-477519" y="-3809"/>
                        <a:ext cx="918845" cy="91440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502790656;o:allowoverlap:true;o:allowincell:true;mso-position-horizontal-relative:text;margin-left:-37.60pt;mso-position-horizontal:absolute;mso-position-vertical-relative:text;margin-top:-0.30pt;mso-position-vertical:absolute;width:72.35pt;height:72.00pt;mso-wrap-distance-left:9.00pt;mso-wrap-distance-top:0.00pt;mso-wrap-distance-right:9.00pt;mso-wrap-distance-bottom:0.00pt;z-index:1;" stroked="false">
              <v:imagedata r:id="rId1" o:title=""/>
              <o:lock v:ext="edit" rotation="t"/>
            </v:shape>
          </w:pict>
        </mc:Fallback>
      </mc:AlternateContent>
    </w:r>
    <w:r>
      <w:rPr>
        <w:rFonts w:ascii="Arial" w:hAnsi="Arial" w:cs="Arial"/>
        <w:b/>
        <w:bCs/>
        <w:color w:val="000041"/>
        <w:sz w:val="30"/>
        <w:szCs w:val="30"/>
      </w:rPr>
      <w:t xml:space="preserve">INSTITUTUL TEOLOGIC BAPTIST DIN BUCUREŞTI</w:t>
    </w:r>
    <w:r>
      <w:rPr>
        <w:rFonts w:ascii="Arial" w:hAnsi="Arial" w:cs="Arial"/>
        <w:b/>
        <w:bCs/>
        <w:color w:val="000041"/>
        <w:sz w:val="30"/>
        <w:szCs w:val="30"/>
      </w:rPr>
    </w:r>
  </w:p>
  <w:p>
    <w:pPr>
      <w:pBdr/>
      <w:spacing/>
      <w:ind w:left="851"/>
      <w:rPr>
        <w:rFonts w:ascii="Arial" w:hAnsi="Arial" w:cs="Arial"/>
        <w:b/>
        <w:iCs/>
        <w:color w:val="000041"/>
        <w:sz w:val="24"/>
        <w:szCs w:val="24"/>
      </w:rPr>
    </w:pPr>
    <w:r>
      <w:rPr>
        <w:rFonts w:ascii="Arial" w:hAnsi="Arial" w:cs="Arial"/>
        <w:b/>
        <w:iCs/>
        <w:color w:val="000041"/>
      </w:rPr>
      <w:t xml:space="preserve">Facultatea de Teologie Baptistă – Departamentul de Teologie Baptistă Pastorală</w:t>
    </w:r>
    <w:r>
      <w:rPr>
        <w:rFonts w:ascii="Arial" w:hAnsi="Arial" w:cs="Arial"/>
        <w:b/>
        <w:iCs/>
        <w:color w:val="000041"/>
        <w:sz w:val="24"/>
        <w:szCs w:val="24"/>
      </w:rPr>
    </w:r>
  </w:p>
  <w:p>
    <w:pPr>
      <w:pBdr/>
      <w:spacing w:before="60"/>
      <w:ind w:left="851"/>
      <w:rPr>
        <w:rFonts w:ascii="Arial" w:hAnsi="Arial" w:cs="Arial"/>
        <w:color w:val="000041"/>
        <w:sz w:val="18"/>
        <w:szCs w:val="18"/>
      </w:rPr>
    </w:pPr>
    <w:r>
      <w:rPr>
        <w:rFonts w:ascii="Arial" w:hAnsi="Arial" w:cs="Arial"/>
        <w:color w:val="000041"/>
        <w:sz w:val="18"/>
        <w:szCs w:val="18"/>
      </w:rPr>
      <w:t xml:space="preserve">Str. Berzei, nr.29, sector 1, 010251, Bucureşti; Cod fiscal: 4528379</w:t>
    </w:r>
    <w:r>
      <w:rPr>
        <w:rFonts w:ascii="Arial" w:hAnsi="Arial" w:cs="Arial"/>
        <w:color w:val="000041"/>
        <w:sz w:val="18"/>
        <w:szCs w:val="18"/>
      </w:rPr>
    </w:r>
  </w:p>
  <w:p>
    <w:pPr>
      <w:pBdr/>
      <w:tabs>
        <w:tab w:val="left" w:leader="none" w:pos="1530"/>
      </w:tabs>
      <w:spacing/>
      <w:ind w:left="851"/>
      <w:rPr>
        <w:rFonts w:ascii="Arial" w:hAnsi="Arial" w:cs="Arial"/>
        <w:color w:val="000041"/>
        <w:sz w:val="18"/>
        <w:szCs w:val="18"/>
      </w:rPr>
    </w:pPr>
    <w:r>
      <w:rPr>
        <w:rFonts w:ascii="Arial" w:hAnsi="Arial" w:cs="Arial"/>
        <w:color w:val="000041"/>
        <w:sz w:val="18"/>
        <w:szCs w:val="18"/>
      </w:rPr>
      <w:t xml:space="preserve">RO52 RZBR 0000 0600 1034 5768; SWIFT: RZBR ROBU,  Raiffeisen Bank, Suc. Stirbei Vodă, Sect.1, Bucuresti</w:t>
    </w:r>
    <w:r>
      <w:rPr>
        <w:rFonts w:ascii="Arial" w:hAnsi="Arial" w:cs="Arial"/>
        <w:color w:val="000041"/>
        <w:sz w:val="18"/>
        <w:szCs w:val="18"/>
      </w:rPr>
    </w:r>
  </w:p>
  <w:p>
    <w:pPr>
      <w:pBdr/>
      <w:tabs>
        <w:tab w:val="left" w:leader="none" w:pos="1530"/>
      </w:tabs>
      <w:spacing/>
      <w:ind w:left="851"/>
      <w:rPr>
        <w:rFonts w:ascii="Arial" w:hAnsi="Arial" w:cs="Arial"/>
        <w:color w:val="000041"/>
        <w:sz w:val="18"/>
        <w:szCs w:val="18"/>
        <w:lang w:val="en-GB"/>
      </w:rPr>
    </w:pPr>
    <w:r>
      <w:rPr>
        <w:rFonts w:ascii="Arial" w:hAnsi="Arial" w:cs="Arial"/>
        <w:color w:val="000041"/>
        <w:sz w:val="18"/>
        <w:szCs w:val="18"/>
      </w:rPr>
      <w:t xml:space="preserve">Tel. 021-3159108,  Fax 021-3181593,  E-mail: </w:t>
    </w:r>
    <w:hyperlink r:id="rId2" w:tooltip="mailto:office@itb.ro" w:history="1">
      <w:r>
        <w:rPr>
          <w:rStyle w:val="1050"/>
          <w:rFonts w:ascii="Arial" w:hAnsi="Arial" w:cs="Arial"/>
          <w:color w:val="000041"/>
          <w:sz w:val="18"/>
          <w:szCs w:val="18"/>
          <w:u w:val="none"/>
        </w:rPr>
        <w:t xml:space="preserve">office@itb.ro</w:t>
      </w:r>
    </w:hyperlink>
    <w:r>
      <w:rPr>
        <w:rFonts w:ascii="Arial" w:hAnsi="Arial" w:cs="Arial"/>
        <w:color w:val="000041"/>
        <w:sz w:val="18"/>
        <w:szCs w:val="18"/>
      </w:rPr>
      <w:t xml:space="preserve">,  www.itb.ro  </w:t>
    </w:r>
    <w:r>
      <w:rPr>
        <w:rFonts w:ascii="Arial" w:hAnsi="Arial" w:cs="Arial"/>
        <w:color w:val="000041"/>
        <w:sz w:val="18"/>
        <w:szCs w:val="18"/>
        <w:lang w:val="en-GB"/>
      </w:rPr>
    </w:r>
  </w:p>
  <w:p>
    <w:pPr>
      <w:pBdr/>
      <w:tabs>
        <w:tab w:val="left" w:leader="none" w:pos="1530"/>
      </w:tabs>
      <w:spacing/>
      <w:ind w:left="851"/>
      <w:rPr>
        <w:rFonts w:ascii="Arial" w:hAnsi="Arial" w:cs="Arial"/>
        <w:color w:val="000041"/>
        <w:sz w:val="18"/>
        <w:szCs w:val="18"/>
      </w:rPr>
    </w:pPr>
    <w:r>
      <w:rPr>
        <w:rFonts w:ascii="Arial" w:hAnsi="Arial" w:cs="Arial"/>
        <w:color w:val="000041"/>
        <w:sz w:val="18"/>
        <w:szCs w:val="18"/>
        <w:lang w:val="en-US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502791680" behindDoc="0" locked="0" layoutInCell="1" allowOverlap="1">
              <wp:simplePos x="0" y="0"/>
              <wp:positionH relativeFrom="column">
                <wp:posOffset>-342899</wp:posOffset>
              </wp:positionH>
              <wp:positionV relativeFrom="paragraph">
                <wp:posOffset>72390</wp:posOffset>
              </wp:positionV>
              <wp:extent cx="685800" cy="228600"/>
              <wp:effectExtent l="0" t="0" r="0" b="0"/>
              <wp:wrapNone/>
              <wp:docPr id="2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-342899" y="72390"/>
                        <a:ext cx="6858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Bdr/>
                            <w:spacing/>
                            <w:ind/>
                            <w:jc w:val="center"/>
                            <w:rPr>
                              <w:rFonts w:ascii="Calibri" w:hAnsi="Calibri"/>
                              <w:b/>
                              <w:i/>
                              <w:iCs/>
                              <w:color w:val="000041"/>
                              <w:sz w:val="14"/>
                              <w:szCs w:val="16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i/>
                              <w:iCs/>
                              <w:color w:val="000041"/>
                              <w:sz w:val="14"/>
                              <w:szCs w:val="16"/>
                            </w:rPr>
                            <w:t xml:space="preserve">fondat 1921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iCs/>
                              <w:color w:val="000041"/>
                              <w:sz w:val="14"/>
                              <w:szCs w:val="16"/>
                            </w:rPr>
                          </w:r>
                        </w:p>
                        <w:p>
                          <w:pPr>
                            <w:pBdr/>
                            <w:spacing/>
                            <w:ind/>
                            <w:jc w:val="center"/>
                            <w:rPr>
                              <w:sz w:val="22"/>
                              <w:szCs w:val="24"/>
                              <w:lang w:val="en-GB"/>
                            </w:rPr>
                          </w:pPr>
                          <w:r>
                            <w:rPr>
                              <w:sz w:val="22"/>
                              <w:szCs w:val="24"/>
                              <w:lang w:val="en-GB"/>
                            </w:rPr>
                          </w:r>
                          <w:r>
                            <w:rPr>
                              <w:sz w:val="22"/>
                              <w:szCs w:val="24"/>
                              <w:lang w:val="en-GB"/>
                            </w:rPr>
                          </w:r>
                        </w:p>
                      </w:txbxContent>
                    </wps:txbx>
                    <wps:bodyPr wrap="square" lIns="0" tIns="0" rIns="0" bIns="0" upright="1"/>
                  </wps:wsp>
                </a:graphicData>
              </a:graphic>
            </wp:anchor>
          </w:drawing>
        </mc:Choice>
        <mc:Fallback>
          <w:pict>
            <v:shape id="shape 1" o:spid="_x0000_s1" o:spt="1" type="#_x0000_t1" style="position:absolute;z-index:502791680;o:allowoverlap:true;o:allowincell:true;mso-position-horizontal-relative:text;margin-left:-27.00pt;mso-position-horizontal:absolute;mso-position-vertical-relative:text;margin-top:5.70pt;mso-position-vertical:absolute;width:54.00pt;height:18.00pt;mso-wrap-distance-left:9.00pt;mso-wrap-distance-top:0.00pt;mso-wrap-distance-right:9.00pt;mso-wrap-distance-bottom:0.00pt;visibility:visible;" filled="f" stroked="f">
              <v:textbox inset="0,0,0,0">
                <w:txbxContent>
                  <w:p>
                    <w:pPr>
                      <w:pBdr/>
                      <w:spacing/>
                      <w:ind/>
                      <w:jc w:val="center"/>
                      <w:rPr>
                        <w:rFonts w:ascii="Calibri" w:hAnsi="Calibri"/>
                        <w:b/>
                        <w:i/>
                        <w:iCs/>
                        <w:color w:val="000041"/>
                        <w:sz w:val="14"/>
                        <w:szCs w:val="16"/>
                      </w:rPr>
                    </w:pPr>
                    <w:r>
                      <w:rPr>
                        <w:rFonts w:ascii="Calibri" w:hAnsi="Calibri"/>
                        <w:b/>
                        <w:i/>
                        <w:iCs/>
                        <w:color w:val="000041"/>
                        <w:sz w:val="14"/>
                        <w:szCs w:val="16"/>
                      </w:rPr>
                      <w:t xml:space="preserve">fondat 1921</w:t>
                    </w:r>
                    <w:r>
                      <w:rPr>
                        <w:rFonts w:ascii="Calibri" w:hAnsi="Calibri"/>
                        <w:b/>
                        <w:i/>
                        <w:iCs/>
                        <w:color w:val="000041"/>
                        <w:sz w:val="14"/>
                        <w:szCs w:val="16"/>
                      </w:rPr>
                    </w:r>
                  </w:p>
                  <w:p>
                    <w:pPr>
                      <w:pBdr/>
                      <w:spacing/>
                      <w:ind/>
                      <w:jc w:val="center"/>
                      <w:rPr>
                        <w:sz w:val="22"/>
                        <w:szCs w:val="24"/>
                        <w:lang w:val="en-GB"/>
                      </w:rPr>
                    </w:pPr>
                    <w:r>
                      <w:rPr>
                        <w:sz w:val="22"/>
                        <w:szCs w:val="24"/>
                        <w:lang w:val="en-GB"/>
                      </w:rPr>
                    </w:r>
                    <w:r>
                      <w:rPr>
                        <w:sz w:val="22"/>
                        <w:szCs w:val="24"/>
                        <w:lang w:val="en-GB"/>
                      </w:rPr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color w:val="000041"/>
        <w:sz w:val="18"/>
        <w:szCs w:val="18"/>
      </w:rPr>
      <w:t xml:space="preserve">Acreditat prin Legea nr. 139 şi Decretul 421, publicate în M.O. partea I, nr. 434/23.05.2005        </w:t>
    </w:r>
    <w:r>
      <w:rPr>
        <w:rFonts w:ascii="Arial" w:hAnsi="Arial" w:cs="Arial"/>
        <w:color w:val="000041"/>
        <w:sz w:val="18"/>
        <w:szCs w:val="18"/>
      </w:rPr>
    </w:r>
  </w:p>
  <w:p>
    <w:pPr>
      <w:pStyle w:val="1053"/>
      <w:pBdr/>
      <w:spacing/>
      <w:ind/>
      <w:rPr/>
    </w:pPr>
    <w:r>
      <w:rPr>
        <w:lang w:val="en-US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8752" behindDoc="0" locked="0" layoutInCell="1" allowOverlap="1">
              <wp:simplePos x="0" y="0"/>
              <wp:positionH relativeFrom="column">
                <wp:posOffset>532130</wp:posOffset>
              </wp:positionH>
              <wp:positionV relativeFrom="paragraph">
                <wp:posOffset>54610</wp:posOffset>
              </wp:positionV>
              <wp:extent cx="5760720" cy="0"/>
              <wp:effectExtent l="0" t="0" r="0" b="0"/>
              <wp:wrapNone/>
              <wp:docPr id="3" name="shap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532130" y="54610"/>
                        <a:ext cx="5760720" cy="0"/>
                      </a:xfrm>
                      <a:prstGeom prst="line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000041"/>
                        </a:solidFill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id="shape 2" o:spid="_x0000_s2" style="position:absolute;left:0;text-align:left;z-index:251658752;mso-wrap-distance-left:9.00pt;mso-wrap-distance-top:0.00pt;mso-wrap-distance-right:9.00pt;mso-wrap-distance-bottom:0.00pt;visibility:visible;" from="41.9pt,4.3pt" to="495.5pt,4.3pt" fillcolor="#FFFFFF" strokecolor="#000041" strokeweight="1.50pt"/>
          </w:pict>
        </mc:Fallback>
      </mc:AlternateContent>
    </w:r>
    <w:r/>
  </w:p>
  <w:p>
    <w:pPr>
      <w:pStyle w:val="1053"/>
      <w:pBdr/>
      <w:spacing/>
      <w:ind/>
      <w:rPr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53"/>
      <w:pBdr/>
      <w:spacing/>
      <w:ind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53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54683"/>
    <w:lvl w:ilvl="0">
      <w:isLgl w:val="false"/>
      <w:lvlJc w:val="left"/>
      <w:lvlText w:val="%1."/>
      <w:numFmt w:val="upperLetter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">
    <w:nsid w:val="0AE777D3"/>
    <w:lvl w:ilvl="0">
      <w:isLgl w:val="false"/>
      <w:lvlJc w:val="left"/>
      <w:lvlText w:val="%1."/>
      <w:numFmt w:val="decimal"/>
      <w:pPr>
        <w:pBdr/>
        <w:spacing/>
        <w:ind w:hanging="360" w:left="144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6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8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60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32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4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6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8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200"/>
      </w:pPr>
      <w:rPr/>
      <w:start w:val="1"/>
      <w:suff w:val="tab"/>
    </w:lvl>
  </w:abstractNum>
  <w:abstractNum w:abstractNumId="2">
    <w:nsid w:val="14D44B09"/>
    <w:lvl w:ilvl="0">
      <w:isLgl w:val="false"/>
      <w:lvlJc w:val="left"/>
      <w:lvlText w:val="%1."/>
      <w:numFmt w:val="decimal"/>
      <w:pPr>
        <w:pBdr/>
        <w:spacing/>
        <w:ind w:hanging="360" w:left="75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7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9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91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3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5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7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9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510"/>
      </w:pPr>
      <w:rPr/>
      <w:start w:val="1"/>
      <w:suff w:val="tab"/>
    </w:lvl>
  </w:abstractNum>
  <w:abstractNum w:abstractNumId="3">
    <w:nsid w:val="174C79EC"/>
    <w:lvl w:ilvl="0">
      <w:isLgl w:val="false"/>
      <w:lvlJc w:val="left"/>
      <w:lvlText w:val=""/>
      <w:numFmt w:val="bullet"/>
      <w:pPr>
        <w:pBdr/>
        <w:tabs>
          <w:tab w:val="left" w:leader="none" w:pos="641"/>
        </w:tabs>
        <w:spacing/>
        <w:ind w:hanging="357" w:left="641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left" w:leader="none" w:pos="1440"/>
        </w:tabs>
        <w:spacing/>
        <w:ind w:hanging="360" w:left="1440"/>
      </w:pPr>
      <w:rPr>
        <w:rFonts w:hint="default" w:ascii="Courier New" w:hAnsi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left" w:leader="none" w:pos="2160"/>
        </w:tabs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left" w:leader="none" w:pos="2880"/>
        </w:tabs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left" w:leader="none" w:pos="3600"/>
        </w:tabs>
        <w:spacing/>
        <w:ind w:hanging="360" w:left="3600"/>
      </w:pPr>
      <w:rPr>
        <w:rFonts w:hint="default" w:ascii="Courier New" w:hAnsi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left" w:leader="none" w:pos="4320"/>
        </w:tabs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left" w:leader="none" w:pos="5040"/>
        </w:tabs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left" w:leader="none" w:pos="5760"/>
        </w:tabs>
        <w:spacing/>
        <w:ind w:hanging="360" w:left="5760"/>
      </w:pPr>
      <w:rPr>
        <w:rFonts w:hint="default" w:ascii="Courier New" w:hAnsi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left" w:leader="none" w:pos="6480"/>
        </w:tabs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4">
    <w:nsid w:val="3C664D56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5">
    <w:nsid w:val="3E84108E"/>
    <w:lvl w:ilvl="0">
      <w:isLgl w:val="false"/>
      <w:lvlJc w:val="left"/>
      <w:lvlText w:val="%1."/>
      <w:numFmt w:val="upperRoman"/>
      <w:pPr>
        <w:pBdr/>
        <w:spacing/>
        <w:ind w:hanging="720" w:left="108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6">
    <w:nsid w:val="5063309A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  <w:b/>
        <w:i w:val="0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7">
    <w:nsid w:val="50AB7F75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8">
    <w:nsid w:val="606E2DCB"/>
    <w:lvl w:ilvl="0">
      <w:isLgl w:val="false"/>
      <w:lvlJc w:val="left"/>
      <w:lvlText w:val="-"/>
      <w:numFmt w:val="bullet"/>
      <w:pPr>
        <w:pBdr/>
        <w:spacing/>
        <w:ind w:hanging="360" w:left="1110"/>
      </w:pPr>
      <w:rPr>
        <w:rFonts w:hint="default" w:ascii="Times New Roman" w:hAnsi="Times New Roman" w:eastAsia="Times New Roman" w:cs="Times New Roman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83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5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7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9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71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43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5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70"/>
      </w:pPr>
      <w:rPr>
        <w:rFonts w:hint="default" w:ascii="Wingdings" w:hAnsi="Wingdings"/>
      </w:rPr>
      <w:start w:val="1"/>
      <w:suff w:val="tab"/>
    </w:lvl>
  </w:abstractNum>
  <w:abstractNum w:abstractNumId="9">
    <w:nsid w:val="6620274B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0">
    <w:nsid w:val="74605A12"/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 w:ascii="Calibri" w:hAnsi="Calibri" w:eastAsia="Calibri" w:cs="Times New Roman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1">
    <w:nsid w:val="74EF39E9"/>
    <w:lvl w:ilvl="0">
      <w:isLgl w:val="false"/>
      <w:lvlJc w:val="left"/>
      <w:lvlText w:val="%1."/>
      <w:numFmt w:val="decimal"/>
      <w:pPr>
        <w:pBdr/>
        <w:tabs>
          <w:tab w:val="left" w:leader="none" w:pos="360"/>
        </w:tabs>
        <w:spacing/>
        <w:ind w:hanging="360" w:left="360"/>
      </w:pPr>
      <w:rPr>
        <w:rFonts w:hint="default"/>
        <w:b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360" w:left="360"/>
      </w:pPr>
      <w:rPr>
        <w:rFonts w:hint="default"/>
      </w:rPr>
      <w:start w:val="2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720"/>
      </w:pPr>
      <w:rPr>
        <w:rFonts w:hint="default"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720" w:left="720"/>
      </w:pPr>
      <w:rPr>
        <w:rFonts w:hint="default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1080"/>
      </w:pPr>
      <w:rPr>
        <w:rFonts w:hint="default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080" w:left="1080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440" w:left="1440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440" w:left="1440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1800" w:left="1800"/>
      </w:pPr>
      <w:rPr>
        <w:rFonts w:hint="default"/>
      </w:rPr>
      <w:start w:val="1"/>
      <w:suff w:val="tab"/>
    </w:lvl>
  </w:abstractNum>
  <w:abstractNum w:abstractNumId="12">
    <w:nsid w:val="7B91328F"/>
    <w:lvl w:ilvl="0">
      <w:isLgl w:val="false"/>
      <w:lvlJc w:val="left"/>
      <w:lvlText w:val="-"/>
      <w:numFmt w:val="bullet"/>
      <w:pPr>
        <w:pBdr/>
        <w:spacing/>
        <w:ind w:hanging="360" w:left="1110"/>
      </w:pPr>
      <w:rPr>
        <w:rFonts w:hint="default" w:ascii="Times New Roman" w:hAnsi="Times New Roman" w:eastAsia="Times New Roman" w:cs="Times New Roman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83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5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7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9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71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43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5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70"/>
      </w:pPr>
      <w:rPr>
        <w:rFonts w:hint="default" w:ascii="Wingdings" w:hAnsi="Wingdings"/>
      </w:rPr>
      <w:start w:val="1"/>
      <w:suff w:val="tab"/>
    </w:lvl>
  </w:abstractNum>
  <w:num w:numId="1">
    <w:abstractNumId w:val="6"/>
  </w:num>
  <w:num w:numId="2">
    <w:abstractNumId w:val="5"/>
  </w:num>
  <w:num w:numId="3">
    <w:abstractNumId w:val="9"/>
  </w:num>
  <w:num w:numId="4">
    <w:abstractNumId w:val="1"/>
  </w:num>
  <w:num w:numId="5">
    <w:abstractNumId w:val="10"/>
  </w:num>
  <w:num w:numId="6">
    <w:abstractNumId w:val="2"/>
  </w:num>
  <w:num w:numId="7">
    <w:abstractNumId w:val="2"/>
  </w:num>
  <w:num w:numId="8">
    <w:abstractNumId w:val="8"/>
  </w:num>
  <w:num w:numId="9">
    <w:abstractNumId w:val="12"/>
  </w:num>
  <w:num w:numId="10">
    <w:abstractNumId w:val="11"/>
  </w:num>
  <w:num w:numId="11">
    <w:abstractNumId w:val="7"/>
  </w:num>
  <w:num w:numId="12">
    <w:abstractNumId w:val="3"/>
  </w:num>
  <w:num w:numId="13">
    <w:abstractNumId w:val="4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432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en-US" w:eastAsia="en-US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98">
    <w:name w:val="Placeholder Text"/>
    <w:basedOn w:val="876"/>
    <w:uiPriority w:val="99"/>
    <w:semiHidden/>
    <w:pPr>
      <w:pBdr/>
      <w:spacing/>
      <w:ind/>
    </w:pPr>
    <w:rPr>
      <w:color w:val="666666"/>
    </w:rPr>
  </w:style>
  <w:style w:type="paragraph" w:styleId="866" w:default="1">
    <w:name w:val="Normal"/>
    <w:qFormat/>
    <w:pPr>
      <w:pBdr/>
      <w:spacing/>
      <w:ind/>
    </w:pPr>
    <w:rPr>
      <w:rFonts w:ascii="Times New Roman" w:hAnsi="Times New Roman" w:eastAsia="Times New Roman"/>
      <w:lang w:val="ro-RO"/>
    </w:rPr>
  </w:style>
  <w:style w:type="paragraph" w:styleId="867">
    <w:name w:val="Heading 1"/>
    <w:basedOn w:val="866"/>
    <w:next w:val="866"/>
    <w:link w:val="1052"/>
    <w:uiPriority w:val="9"/>
    <w:qFormat/>
    <w:pPr>
      <w:keepNext w:val="true"/>
      <w:keepLines w:val="true"/>
      <w:pBdr/>
      <w:spacing w:before="480"/>
      <w:ind/>
      <w:jc w:val="both"/>
      <w:outlineLvl w:val="0"/>
    </w:pPr>
    <w:rPr>
      <w:rFonts w:ascii="Calibri" w:hAnsi="Calibri"/>
      <w:b/>
      <w:bCs/>
      <w:color w:val="000000"/>
      <w:sz w:val="28"/>
      <w:szCs w:val="28"/>
    </w:rPr>
  </w:style>
  <w:style w:type="paragraph" w:styleId="868">
    <w:name w:val="Heading 2"/>
    <w:basedOn w:val="866"/>
    <w:next w:val="866"/>
    <w:link w:val="887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paragraph" w:styleId="869">
    <w:name w:val="Heading 3"/>
    <w:basedOn w:val="866"/>
    <w:next w:val="866"/>
    <w:link w:val="888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paragraph" w:styleId="870">
    <w:name w:val="Heading 4"/>
    <w:basedOn w:val="866"/>
    <w:next w:val="866"/>
    <w:link w:val="889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871">
    <w:name w:val="Heading 5"/>
    <w:basedOn w:val="866"/>
    <w:next w:val="866"/>
    <w:link w:val="890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872">
    <w:name w:val="Heading 6"/>
    <w:basedOn w:val="866"/>
    <w:next w:val="866"/>
    <w:link w:val="891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73">
    <w:name w:val="Heading 7"/>
    <w:basedOn w:val="866"/>
    <w:next w:val="866"/>
    <w:link w:val="892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874">
    <w:name w:val="Heading 8"/>
    <w:basedOn w:val="866"/>
    <w:next w:val="866"/>
    <w:link w:val="893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875">
    <w:name w:val="Heading 9"/>
    <w:basedOn w:val="866"/>
    <w:next w:val="866"/>
    <w:link w:val="894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76" w:default="1">
    <w:name w:val="Default Paragraph Font"/>
    <w:uiPriority w:val="1"/>
    <w:semiHidden/>
    <w:unhideWhenUsed/>
    <w:pPr>
      <w:pBdr/>
      <w:spacing/>
      <w:ind/>
    </w:pPr>
  </w:style>
  <w:style w:type="table" w:styleId="877" w:default="1">
    <w:name w:val="Normal Table"/>
    <w:uiPriority w:val="99"/>
    <w:semiHidden/>
    <w:unhideWhenUsed/>
    <w:qFormat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78" w:default="1">
    <w:name w:val="No List"/>
    <w:uiPriority w:val="99"/>
    <w:semiHidden/>
    <w:unhideWhenUsed/>
    <w:pPr>
      <w:pBdr/>
      <w:spacing/>
      <w:ind/>
    </w:pPr>
  </w:style>
  <w:style w:type="character" w:styleId="879">
    <w:name w:val="Intense Emphasis"/>
    <w:basedOn w:val="876"/>
    <w:uiPriority w:val="21"/>
    <w:qFormat/>
    <w:pPr>
      <w:pBdr/>
      <w:spacing/>
      <w:ind/>
    </w:pPr>
    <w:rPr>
      <w:i/>
      <w:iCs/>
      <w:color w:val="365f91" w:themeColor="accent1" w:themeShade="BF"/>
    </w:rPr>
  </w:style>
  <w:style w:type="character" w:styleId="880">
    <w:name w:val="Intense Reference"/>
    <w:basedOn w:val="876"/>
    <w:uiPriority w:val="32"/>
    <w:qFormat/>
    <w:pPr>
      <w:pBdr/>
      <w:spacing/>
      <w:ind/>
    </w:pPr>
    <w:rPr>
      <w:b/>
      <w:bCs/>
      <w:smallCaps/>
      <w:color w:val="365f91" w:themeColor="accent1" w:themeShade="BF"/>
      <w:spacing w:val="5"/>
    </w:rPr>
  </w:style>
  <w:style w:type="character" w:styleId="881">
    <w:name w:val="Subtle Emphasis"/>
    <w:basedOn w:val="87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82">
    <w:name w:val="Emphasis"/>
    <w:basedOn w:val="876"/>
    <w:uiPriority w:val="20"/>
    <w:qFormat/>
    <w:pPr>
      <w:pBdr/>
      <w:spacing/>
      <w:ind/>
    </w:pPr>
    <w:rPr>
      <w:i/>
      <w:iCs/>
    </w:rPr>
  </w:style>
  <w:style w:type="character" w:styleId="883">
    <w:name w:val="Strong"/>
    <w:basedOn w:val="876"/>
    <w:uiPriority w:val="22"/>
    <w:qFormat/>
    <w:pPr>
      <w:pBdr/>
      <w:spacing/>
      <w:ind/>
    </w:pPr>
    <w:rPr>
      <w:b/>
      <w:bCs/>
    </w:rPr>
  </w:style>
  <w:style w:type="character" w:styleId="884">
    <w:name w:val="Subtle Reference"/>
    <w:basedOn w:val="87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85">
    <w:name w:val="Book Title"/>
    <w:basedOn w:val="876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886">
    <w:name w:val="FollowedHyperlink"/>
    <w:basedOn w:val="876"/>
    <w:uiPriority w:val="99"/>
    <w:semiHidden/>
    <w:unhideWhenUsed/>
    <w:pPr>
      <w:pBdr/>
      <w:spacing/>
      <w:ind/>
    </w:pPr>
    <w:rPr>
      <w:color w:val="800080" w:themeColor="followedHyperlink"/>
      <w:u w:val="single"/>
    </w:rPr>
  </w:style>
  <w:style w:type="character" w:styleId="887" w:customStyle="1">
    <w:name w:val="Heading 2 Char"/>
    <w:basedOn w:val="876"/>
    <w:link w:val="868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888" w:customStyle="1">
    <w:name w:val="Heading 3 Char"/>
    <w:basedOn w:val="876"/>
    <w:link w:val="869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889" w:customStyle="1">
    <w:name w:val="Heading 4 Char"/>
    <w:basedOn w:val="876"/>
    <w:link w:val="870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890" w:customStyle="1">
    <w:name w:val="Heading 5 Char"/>
    <w:basedOn w:val="876"/>
    <w:link w:val="871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891" w:customStyle="1">
    <w:name w:val="Heading 6 Char"/>
    <w:basedOn w:val="876"/>
    <w:link w:val="872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892" w:customStyle="1">
    <w:name w:val="Heading 7 Char"/>
    <w:basedOn w:val="876"/>
    <w:link w:val="873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893" w:customStyle="1">
    <w:name w:val="Heading 8 Char"/>
    <w:basedOn w:val="876"/>
    <w:link w:val="874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894" w:customStyle="1">
    <w:name w:val="Heading 9 Char"/>
    <w:basedOn w:val="876"/>
    <w:link w:val="875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895">
    <w:name w:val="No Spacing"/>
    <w:uiPriority w:val="1"/>
    <w:qFormat/>
    <w:pPr>
      <w:pBdr/>
      <w:spacing/>
      <w:ind/>
    </w:pPr>
  </w:style>
  <w:style w:type="paragraph" w:styleId="896">
    <w:name w:val="Title"/>
    <w:basedOn w:val="866"/>
    <w:next w:val="866"/>
    <w:link w:val="897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897" w:customStyle="1">
    <w:name w:val="Title Char"/>
    <w:basedOn w:val="876"/>
    <w:link w:val="896"/>
    <w:uiPriority w:val="10"/>
    <w:pPr>
      <w:pBdr/>
      <w:spacing/>
      <w:ind/>
    </w:pPr>
    <w:rPr>
      <w:sz w:val="48"/>
      <w:szCs w:val="48"/>
    </w:rPr>
  </w:style>
  <w:style w:type="paragraph" w:styleId="898">
    <w:name w:val="Subtitle"/>
    <w:basedOn w:val="866"/>
    <w:next w:val="866"/>
    <w:link w:val="899"/>
    <w:uiPriority w:val="11"/>
    <w:qFormat/>
    <w:pPr>
      <w:pBdr/>
      <w:spacing w:after="200" w:before="200"/>
      <w:ind/>
    </w:pPr>
    <w:rPr>
      <w:sz w:val="24"/>
      <w:szCs w:val="24"/>
    </w:rPr>
  </w:style>
  <w:style w:type="character" w:styleId="899" w:customStyle="1">
    <w:name w:val="Subtitle Char"/>
    <w:basedOn w:val="876"/>
    <w:link w:val="898"/>
    <w:uiPriority w:val="11"/>
    <w:pPr>
      <w:pBdr/>
      <w:spacing/>
      <w:ind/>
    </w:pPr>
    <w:rPr>
      <w:sz w:val="24"/>
      <w:szCs w:val="24"/>
    </w:rPr>
  </w:style>
  <w:style w:type="paragraph" w:styleId="900">
    <w:name w:val="Quote"/>
    <w:basedOn w:val="866"/>
    <w:next w:val="866"/>
    <w:link w:val="901"/>
    <w:uiPriority w:val="29"/>
    <w:qFormat/>
    <w:pPr>
      <w:pBdr/>
      <w:spacing/>
      <w:ind w:right="720" w:left="720"/>
    </w:pPr>
    <w:rPr>
      <w:i/>
    </w:rPr>
  </w:style>
  <w:style w:type="character" w:styleId="901" w:customStyle="1">
    <w:name w:val="Quote Char"/>
    <w:link w:val="900"/>
    <w:uiPriority w:val="29"/>
    <w:pPr>
      <w:pBdr/>
      <w:spacing/>
      <w:ind/>
    </w:pPr>
    <w:rPr>
      <w:i/>
    </w:rPr>
  </w:style>
  <w:style w:type="paragraph" w:styleId="902">
    <w:name w:val="Intense Quote"/>
    <w:basedOn w:val="866"/>
    <w:next w:val="866"/>
    <w:link w:val="903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</w:pPr>
    <w:rPr>
      <w:i/>
    </w:rPr>
  </w:style>
  <w:style w:type="character" w:styleId="903" w:customStyle="1">
    <w:name w:val="Intense Quote Char"/>
    <w:link w:val="902"/>
    <w:uiPriority w:val="30"/>
    <w:pPr>
      <w:pBdr/>
      <w:spacing/>
      <w:ind/>
    </w:pPr>
    <w:rPr>
      <w:i/>
    </w:rPr>
  </w:style>
  <w:style w:type="paragraph" w:styleId="904">
    <w:name w:val="Caption"/>
    <w:basedOn w:val="866"/>
    <w:next w:val="866"/>
    <w:uiPriority w:val="35"/>
    <w:semiHidden/>
    <w:unhideWhenUsed/>
    <w:qFormat/>
    <w:pPr>
      <w:pBdr/>
      <w:spacing w:line="276" w:lineRule="auto"/>
      <w:ind/>
    </w:pPr>
    <w:rPr>
      <w:b/>
      <w:bCs/>
      <w:color w:val="4f81bd" w:themeColor="accent1"/>
      <w:sz w:val="18"/>
      <w:szCs w:val="18"/>
    </w:rPr>
  </w:style>
  <w:style w:type="character" w:styleId="905" w:customStyle="1">
    <w:name w:val="Caption Char"/>
    <w:link w:val="1055"/>
    <w:uiPriority w:val="99"/>
    <w:pPr>
      <w:pBdr/>
      <w:spacing/>
      <w:ind/>
    </w:pPr>
  </w:style>
  <w:style w:type="table" w:styleId="906">
    <w:name w:val="Table Grid"/>
    <w:basedOn w:val="877"/>
    <w:uiPriority w:val="59"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 w:customStyle="1">
    <w:name w:val="Table Grid Light"/>
    <w:basedOn w:val="877"/>
    <w:uiPriority w:val="59"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 w:customStyle="1">
    <w:name w:val="Plain Table 1"/>
    <w:basedOn w:val="877"/>
    <w:uiPriority w:val="59"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 w:customStyle="1">
    <w:name w:val="Plain Table 2"/>
    <w:basedOn w:val="877"/>
    <w:uiPriority w:val="59"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 w:customStyle="1">
    <w:name w:val="Plain Table 3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 w:customStyle="1">
    <w:name w:val="Plain Table 4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 w:customStyle="1">
    <w:name w:val="Plain Table 5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 w:customStyle="1">
    <w:name w:val="Grid Table 1 Light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 w:customStyle="1">
    <w:name w:val="Grid Table 1 Light - Accent 1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 w:customStyle="1">
    <w:name w:val="Grid Table 1 Light - Accent 2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 w:customStyle="1">
    <w:name w:val="Grid Table 1 Light - Accent 3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 w:customStyle="1">
    <w:name w:val="Grid Table 1 Light - Accent 4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 w:customStyle="1">
    <w:name w:val="Grid Table 1 Light - Accent 5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 w:customStyle="1">
    <w:name w:val="Grid Table 1 Light - Accent 6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 w:customStyle="1">
    <w:name w:val="Grid Table 2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 w:customStyle="1">
    <w:name w:val="Grid Table 2 - Accent 1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 w:customStyle="1">
    <w:name w:val="Grid Table 2 - Accent 2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 w:customStyle="1">
    <w:name w:val="Grid Table 2 - Accent 3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 w:customStyle="1">
    <w:name w:val="Grid Table 2 - Accent 4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 w:customStyle="1">
    <w:name w:val="Grid Table 2 - Accent 5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 w:customStyle="1">
    <w:name w:val="Grid Table 2 - Accent 6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 w:customStyle="1">
    <w:name w:val="Grid Table 3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 w:customStyle="1">
    <w:name w:val="Grid Table 3 - Accent 1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 w:customStyle="1">
    <w:name w:val="Grid Table 3 - Accent 2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 w:customStyle="1">
    <w:name w:val="Grid Table 3 - Accent 3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 w:customStyle="1">
    <w:name w:val="Grid Table 3 - Accent 4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 w:customStyle="1">
    <w:name w:val="Grid Table 3 - Accent 5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 w:customStyle="1">
    <w:name w:val="Grid Table 3 - Accent 6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 w:customStyle="1">
    <w:name w:val="Grid Table 4"/>
    <w:basedOn w:val="877"/>
    <w:uiPriority w:val="5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 w:customStyle="1">
    <w:name w:val="Grid Table 4 - Accent 1"/>
    <w:basedOn w:val="877"/>
    <w:uiPriority w:val="5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d8ac2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 w:customStyle="1">
    <w:name w:val="Grid Table 4 - Accent 2"/>
    <w:basedOn w:val="877"/>
    <w:uiPriority w:val="5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 w:customStyle="1">
    <w:name w:val="Grid Table 4 - Accent 3"/>
    <w:basedOn w:val="877"/>
    <w:uiPriority w:val="5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abb59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 w:customStyle="1">
    <w:name w:val="Grid Table 4 - Accent 4"/>
    <w:basedOn w:val="877"/>
    <w:uiPriority w:val="5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 w:customStyle="1">
    <w:name w:val="Grid Table 4 - Accent 5"/>
    <w:basedOn w:val="877"/>
    <w:uiPriority w:val="5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 w:customStyle="1">
    <w:name w:val="Grid Table 4 - Accent 6"/>
    <w:basedOn w:val="877"/>
    <w:uiPriority w:val="5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 w:customStyle="1">
    <w:name w:val="Grid Table 5 Dark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 w:customStyle="1">
    <w:name w:val="Grid Table 5 Dark- Accent 1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ec4e0" w:themeColor="accent1" w:themeTint="75" w:fill="aec4e0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ec4e0" w:themeColor="accent1" w:themeTint="75" w:fill="aec4e0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 w:customStyle="1">
    <w:name w:val="Grid Table 5 Dark - Accent 2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2aead" w:themeColor="accent2" w:themeTint="75" w:fill="e2ae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2aead" w:themeColor="accent2" w:themeTint="75" w:fill="e2ae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 w:customStyle="1">
    <w:name w:val="Grid Table 5 Dark - Accent 3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0dfb2" w:themeColor="accent3" w:themeTint="75" w:fill="d0dfb2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0dfb2" w:themeColor="accent3" w:themeTint="75" w:fill="d0dfb2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 w:customStyle="1">
    <w:name w:val="Grid Table 5 Dark- Accent 4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4b7d4" w:themeColor="accent4" w:themeTint="75" w:fill="c4b7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4b7d4" w:themeColor="accent4" w:themeTint="75" w:fill="c4b7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 w:customStyle="1">
    <w:name w:val="Grid Table 5 Dark - Accent 5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cd8e4" w:themeColor="accent5" w:themeTint="75" w:fill="acd8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cd8e4" w:themeColor="accent5" w:themeTint="75" w:fill="acd8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 w:customStyle="1">
    <w:name w:val="Grid Table 5 Dark - Accent 6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bceaa" w:themeColor="accent6" w:themeTint="75" w:fill="fbce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ceaa" w:themeColor="accent6" w:themeTint="75" w:fill="fbce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 w:customStyle="1">
    <w:name w:val="Grid Table 6 Colorful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 w:customStyle="1">
    <w:name w:val="Grid Table 6 Colorful - Accent 1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cPr>
      <w:tcBorders/>
    </w:tcPr>
    <w:tblStylePr w:type="band1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 w:customStyle="1">
    <w:name w:val="Grid Table 6 Colorful - Accent 2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 w:customStyle="1">
    <w:name w:val="Grid Table 6 Colorful - Accent 3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 w:customStyle="1">
    <w:name w:val="Grid Table 6 Colorful - Accent 4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 w:customStyle="1">
    <w:name w:val="Grid Table 6 Colorful - Accent 5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 w:customStyle="1">
    <w:name w:val="Grid Table 6 Colorful - Accent 6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 w:customStyle="1">
    <w:name w:val="Grid Table 7 Colorful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6" w:customStyle="1">
    <w:name w:val="Grid Table 7 Colorful - Accent 1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cPr>
      <w:tcBorders/>
    </w:tcPr>
    <w:tblStylePr w:type="band1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7" w:customStyle="1">
    <w:name w:val="Grid Table 7 Colorful - Accent 2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8" w:customStyle="1">
    <w:name w:val="Grid Table 7 Colorful - Accent 3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9" w:customStyle="1">
    <w:name w:val="Grid Table 7 Colorful - Accent 4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0" w:customStyle="1">
    <w:name w:val="Grid Table 7 Colorful - Accent 5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1" w:customStyle="1">
    <w:name w:val="Grid Table 7 Colorful - Accent 6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2" w:customStyle="1">
    <w:name w:val="List Table 1 Light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3" w:customStyle="1">
    <w:name w:val="List Table 1 Light - Accent 1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4" w:customStyle="1">
    <w:name w:val="List Table 1 Light - Accent 2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5" w:customStyle="1">
    <w:name w:val="List Table 1 Light - Accent 3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6" w:customStyle="1">
    <w:name w:val="List Table 1 Light - Accent 4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7" w:customStyle="1">
    <w:name w:val="List Table 1 Light - Accent 5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8" w:customStyle="1">
    <w:name w:val="List Table 1 Light - Accent 6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9" w:customStyle="1">
    <w:name w:val="List Table 2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0" w:customStyle="1">
    <w:name w:val="List Table 2 - Accent 1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1" w:customStyle="1">
    <w:name w:val="List Table 2 - Accent 2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2" w:customStyle="1">
    <w:name w:val="List Table 2 - Accent 3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3" w:customStyle="1">
    <w:name w:val="List Table 2 - Accent 4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4" w:customStyle="1">
    <w:name w:val="List Table 2 - Accent 5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5" w:customStyle="1">
    <w:name w:val="List Table 2 - Accent 6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6" w:customStyle="1">
    <w:name w:val="List Table 3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7" w:customStyle="1">
    <w:name w:val="List Table 3 - Accent 1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8" w:customStyle="1">
    <w:name w:val="List Table 3 - Accent 2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9" w:customStyle="1">
    <w:name w:val="List Table 3 - Accent 3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0" w:customStyle="1">
    <w:name w:val="List Table 3 - Accent 4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1" w:customStyle="1">
    <w:name w:val="List Table 3 - Accent 5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2" w:customStyle="1">
    <w:name w:val="List Table 3 - Accent 6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3" w:customStyle="1">
    <w:name w:val="List Table 4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4" w:customStyle="1">
    <w:name w:val="List Table 4 - Accent 1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5" w:customStyle="1">
    <w:name w:val="List Table 4 - Accent 2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6" w:customStyle="1">
    <w:name w:val="List Table 4 - Accent 3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7" w:customStyle="1">
    <w:name w:val="List Table 4 - Accent 4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8" w:customStyle="1">
    <w:name w:val="List Table 4 - Accent 5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9" w:customStyle="1">
    <w:name w:val="List Table 4 - Accent 6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0" w:customStyle="1">
    <w:name w:val="List Table 5 Dark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1" w:customStyle="1">
    <w:name w:val="List Table 5 Dark - Accent 1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2" w:customStyle="1">
    <w:name w:val="List Table 5 Dark - Accent 2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3" w:customStyle="1">
    <w:name w:val="List Table 5 Dark - Accent 3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4" w:customStyle="1">
    <w:name w:val="List Table 5 Dark - Accent 4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5" w:customStyle="1">
    <w:name w:val="List Table 5 Dark - Accent 5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6" w:customStyle="1">
    <w:name w:val="List Table 5 Dark - Accent 6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7" w:customStyle="1">
    <w:name w:val="List Table 6 Colorful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8" w:customStyle="1">
    <w:name w:val="List Table 6 Colorful - Accent 1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f81bd" w:themeColor="accent1" w:sz="4" w:space="0"/>
        <w:bottom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9" w:customStyle="1">
    <w:name w:val="List Table 6 Colorful - Accent 2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0" w:customStyle="1">
    <w:name w:val="List Table 6 Colorful - Accent 3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1" w:customStyle="1">
    <w:name w:val="List Table 6 Colorful - Accent 4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2" w:customStyle="1">
    <w:name w:val="List Table 6 Colorful - Accent 5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3" w:customStyle="1">
    <w:name w:val="List Table 6 Colorful - Accent 6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4" w:customStyle="1">
    <w:name w:val="List Table 7 Colorful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5" w:customStyle="1">
    <w:name w:val="List Table 7 Colorful - Accent 1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right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6" w:customStyle="1">
    <w:name w:val="List Table 7 Colorful - Accent 2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right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7" w:customStyle="1">
    <w:name w:val="List Table 7 Colorful - Accent 3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right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8" w:customStyle="1">
    <w:name w:val="List Table 7 Colorful - Accent 4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right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9" w:customStyle="1">
    <w:name w:val="List Table 7 Colorful - Accent 5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right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0" w:customStyle="1">
    <w:name w:val="List Table 7 Colorful - Accent 6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right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1" w:customStyle="1">
    <w:name w:val="Lined - Accent"/>
    <w:basedOn w:val="877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2" w:customStyle="1">
    <w:name w:val="Lined - Accent 1"/>
    <w:basedOn w:val="877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3" w:customStyle="1">
    <w:name w:val="Lined - Accent 2"/>
    <w:basedOn w:val="877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4" w:customStyle="1">
    <w:name w:val="Lined - Accent 3"/>
    <w:basedOn w:val="877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5" w:customStyle="1">
    <w:name w:val="Lined - Accent 4"/>
    <w:basedOn w:val="877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6" w:customStyle="1">
    <w:name w:val="Lined - Accent 5"/>
    <w:basedOn w:val="877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7" w:customStyle="1">
    <w:name w:val="Lined - Accent 6"/>
    <w:basedOn w:val="877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8" w:customStyle="1">
    <w:name w:val="Bordered &amp; Lined - Accent"/>
    <w:basedOn w:val="877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9" w:customStyle="1">
    <w:name w:val="Bordered &amp; Lined - Accent 1"/>
    <w:basedOn w:val="877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0" w:customStyle="1">
    <w:name w:val="Bordered &amp; Lined - Accent 2"/>
    <w:basedOn w:val="877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1" w:customStyle="1">
    <w:name w:val="Bordered &amp; Lined - Accent 3"/>
    <w:basedOn w:val="877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2" w:customStyle="1">
    <w:name w:val="Bordered &amp; Lined - Accent 4"/>
    <w:basedOn w:val="877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3" w:customStyle="1">
    <w:name w:val="Bordered &amp; Lined - Accent 5"/>
    <w:basedOn w:val="877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4" w:customStyle="1">
    <w:name w:val="Bordered &amp; Lined - Accent 6"/>
    <w:basedOn w:val="877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5" w:customStyle="1">
    <w:name w:val="Bordered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6" w:customStyle="1">
    <w:name w:val="Bordered - Accent 1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7" w:customStyle="1">
    <w:name w:val="Bordered - Accent 2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8" w:customStyle="1">
    <w:name w:val="Bordered - Accent 3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9" w:customStyle="1">
    <w:name w:val="Bordered - Accent 4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0" w:customStyle="1">
    <w:name w:val="Bordered - Accent 5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1" w:customStyle="1">
    <w:name w:val="Bordered - Accent 6"/>
    <w:basedOn w:val="877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032">
    <w:name w:val="footnote text"/>
    <w:basedOn w:val="866"/>
    <w:link w:val="1033"/>
    <w:uiPriority w:val="99"/>
    <w:semiHidden/>
    <w:unhideWhenUsed/>
    <w:pPr>
      <w:pBdr/>
      <w:spacing w:after="40"/>
      <w:ind/>
    </w:pPr>
    <w:rPr>
      <w:sz w:val="18"/>
    </w:rPr>
  </w:style>
  <w:style w:type="character" w:styleId="1033" w:customStyle="1">
    <w:name w:val="Footnote Text Char"/>
    <w:link w:val="1032"/>
    <w:uiPriority w:val="99"/>
    <w:pPr>
      <w:pBdr/>
      <w:spacing/>
      <w:ind/>
    </w:pPr>
    <w:rPr>
      <w:sz w:val="18"/>
    </w:rPr>
  </w:style>
  <w:style w:type="character" w:styleId="1034">
    <w:name w:val="footnote reference"/>
    <w:basedOn w:val="876"/>
    <w:uiPriority w:val="99"/>
    <w:unhideWhenUsed/>
    <w:pPr>
      <w:pBdr/>
      <w:spacing/>
      <w:ind/>
    </w:pPr>
    <w:rPr>
      <w:vertAlign w:val="superscript"/>
    </w:rPr>
  </w:style>
  <w:style w:type="paragraph" w:styleId="1035">
    <w:name w:val="endnote text"/>
    <w:basedOn w:val="866"/>
    <w:link w:val="1036"/>
    <w:uiPriority w:val="99"/>
    <w:semiHidden/>
    <w:unhideWhenUsed/>
    <w:pPr>
      <w:pBdr/>
      <w:spacing/>
      <w:ind/>
    </w:pPr>
  </w:style>
  <w:style w:type="character" w:styleId="1036" w:customStyle="1">
    <w:name w:val="Endnote Text Char"/>
    <w:link w:val="1035"/>
    <w:uiPriority w:val="99"/>
    <w:pPr>
      <w:pBdr/>
      <w:spacing/>
      <w:ind/>
    </w:pPr>
    <w:rPr>
      <w:sz w:val="20"/>
    </w:rPr>
  </w:style>
  <w:style w:type="character" w:styleId="1037">
    <w:name w:val="endnote reference"/>
    <w:basedOn w:val="876"/>
    <w:uiPriority w:val="99"/>
    <w:semiHidden/>
    <w:unhideWhenUsed/>
    <w:pPr>
      <w:pBdr/>
      <w:spacing/>
      <w:ind/>
    </w:pPr>
    <w:rPr>
      <w:vertAlign w:val="superscript"/>
    </w:rPr>
  </w:style>
  <w:style w:type="paragraph" w:styleId="1038">
    <w:name w:val="toc 1"/>
    <w:basedOn w:val="866"/>
    <w:next w:val="866"/>
    <w:uiPriority w:val="39"/>
    <w:unhideWhenUsed/>
    <w:pPr>
      <w:pBdr/>
      <w:spacing w:after="57"/>
      <w:ind/>
    </w:pPr>
  </w:style>
  <w:style w:type="paragraph" w:styleId="1039">
    <w:name w:val="toc 2"/>
    <w:basedOn w:val="866"/>
    <w:next w:val="866"/>
    <w:uiPriority w:val="39"/>
    <w:unhideWhenUsed/>
    <w:pPr>
      <w:pBdr/>
      <w:spacing w:after="57"/>
      <w:ind w:left="283"/>
    </w:pPr>
  </w:style>
  <w:style w:type="paragraph" w:styleId="1040">
    <w:name w:val="toc 3"/>
    <w:basedOn w:val="866"/>
    <w:next w:val="866"/>
    <w:uiPriority w:val="39"/>
    <w:unhideWhenUsed/>
    <w:pPr>
      <w:pBdr/>
      <w:spacing w:after="57"/>
      <w:ind w:left="567"/>
    </w:pPr>
  </w:style>
  <w:style w:type="paragraph" w:styleId="1041">
    <w:name w:val="toc 4"/>
    <w:basedOn w:val="866"/>
    <w:next w:val="866"/>
    <w:uiPriority w:val="39"/>
    <w:unhideWhenUsed/>
    <w:pPr>
      <w:pBdr/>
      <w:spacing w:after="57"/>
      <w:ind w:left="850"/>
    </w:pPr>
  </w:style>
  <w:style w:type="paragraph" w:styleId="1042">
    <w:name w:val="toc 5"/>
    <w:basedOn w:val="866"/>
    <w:next w:val="866"/>
    <w:uiPriority w:val="39"/>
    <w:unhideWhenUsed/>
    <w:pPr>
      <w:pBdr/>
      <w:spacing w:after="57"/>
      <w:ind w:left="1134"/>
    </w:pPr>
  </w:style>
  <w:style w:type="paragraph" w:styleId="1043">
    <w:name w:val="toc 6"/>
    <w:basedOn w:val="866"/>
    <w:next w:val="866"/>
    <w:uiPriority w:val="39"/>
    <w:unhideWhenUsed/>
    <w:pPr>
      <w:pBdr/>
      <w:spacing w:after="57"/>
      <w:ind w:left="1417"/>
    </w:pPr>
  </w:style>
  <w:style w:type="paragraph" w:styleId="1044">
    <w:name w:val="toc 7"/>
    <w:basedOn w:val="866"/>
    <w:next w:val="866"/>
    <w:uiPriority w:val="39"/>
    <w:unhideWhenUsed/>
    <w:pPr>
      <w:pBdr/>
      <w:spacing w:after="57"/>
      <w:ind w:left="1701"/>
    </w:pPr>
  </w:style>
  <w:style w:type="paragraph" w:styleId="1045">
    <w:name w:val="toc 8"/>
    <w:basedOn w:val="866"/>
    <w:next w:val="866"/>
    <w:uiPriority w:val="39"/>
    <w:unhideWhenUsed/>
    <w:pPr>
      <w:pBdr/>
      <w:spacing w:after="57"/>
      <w:ind w:left="1984"/>
    </w:pPr>
  </w:style>
  <w:style w:type="paragraph" w:styleId="1046">
    <w:name w:val="toc 9"/>
    <w:basedOn w:val="866"/>
    <w:next w:val="866"/>
    <w:uiPriority w:val="39"/>
    <w:unhideWhenUsed/>
    <w:pPr>
      <w:pBdr/>
      <w:spacing w:after="57"/>
      <w:ind w:left="2268"/>
    </w:pPr>
  </w:style>
  <w:style w:type="paragraph" w:styleId="1047">
    <w:name w:val="TOC Heading"/>
    <w:uiPriority w:val="39"/>
    <w:unhideWhenUsed/>
    <w:pPr>
      <w:pBdr/>
      <w:spacing/>
      <w:ind/>
    </w:pPr>
  </w:style>
  <w:style w:type="paragraph" w:styleId="1048">
    <w:name w:val="table of figures"/>
    <w:basedOn w:val="866"/>
    <w:next w:val="866"/>
    <w:uiPriority w:val="99"/>
    <w:unhideWhenUsed/>
    <w:pPr>
      <w:pBdr/>
      <w:spacing/>
      <w:ind/>
    </w:pPr>
  </w:style>
  <w:style w:type="paragraph" w:styleId="1049">
    <w:name w:val="List Paragraph"/>
    <w:basedOn w:val="866"/>
    <w:uiPriority w:val="34"/>
    <w:qFormat/>
    <w:pPr>
      <w:pBdr/>
      <w:spacing/>
      <w:ind w:left="720"/>
      <w:contextualSpacing w:val="true"/>
    </w:pPr>
  </w:style>
  <w:style w:type="character" w:styleId="1050">
    <w:name w:val="Hyperlink"/>
    <w:uiPriority w:val="99"/>
    <w:unhideWhenUsed/>
    <w:pPr>
      <w:pBdr/>
      <w:spacing/>
      <w:ind/>
    </w:pPr>
    <w:rPr>
      <w:color w:val="0000ff"/>
      <w:u w:val="single"/>
    </w:rPr>
  </w:style>
  <w:style w:type="character" w:styleId="1051" w:customStyle="1">
    <w:name w:val="apple-style-span"/>
    <w:basedOn w:val="876"/>
    <w:pPr>
      <w:pBdr/>
      <w:spacing/>
      <w:ind/>
    </w:pPr>
  </w:style>
  <w:style w:type="character" w:styleId="1052" w:customStyle="1">
    <w:name w:val="Heading 1 Char"/>
    <w:link w:val="867"/>
    <w:uiPriority w:val="9"/>
    <w:pPr>
      <w:pBdr/>
      <w:spacing/>
      <w:ind/>
    </w:pPr>
    <w:rPr>
      <w:rFonts w:eastAsia="Times New Roman" w:cs="Times New Roman"/>
      <w:b/>
      <w:bCs/>
      <w:color w:val="000000"/>
      <w:sz w:val="28"/>
      <w:szCs w:val="28"/>
      <w:lang w:val="ro-RO"/>
    </w:rPr>
  </w:style>
  <w:style w:type="paragraph" w:styleId="1053">
    <w:name w:val="Header"/>
    <w:basedOn w:val="866"/>
    <w:link w:val="1054"/>
    <w:uiPriority w:val="99"/>
    <w:unhideWhenUsed/>
    <w:pPr>
      <w:pBdr/>
      <w:tabs>
        <w:tab w:val="center" w:leader="none" w:pos="4680"/>
        <w:tab w:val="right" w:leader="none" w:pos="9360"/>
      </w:tabs>
      <w:spacing/>
      <w:ind/>
    </w:pPr>
  </w:style>
  <w:style w:type="character" w:styleId="1054" w:customStyle="1">
    <w:name w:val="Header Char"/>
    <w:link w:val="1053"/>
    <w:uiPriority w:val="99"/>
    <w:pPr>
      <w:pBdr/>
      <w:spacing/>
      <w:ind/>
    </w:pPr>
    <w:rPr>
      <w:rFonts w:ascii="Times New Roman" w:hAnsi="Times New Roman" w:eastAsia="Times New Roman" w:cs="Times New Roman"/>
      <w:sz w:val="20"/>
      <w:szCs w:val="20"/>
      <w:lang w:val="ro-RO"/>
    </w:rPr>
  </w:style>
  <w:style w:type="paragraph" w:styleId="1055">
    <w:name w:val="Footer"/>
    <w:basedOn w:val="866"/>
    <w:link w:val="1056"/>
    <w:uiPriority w:val="99"/>
    <w:unhideWhenUsed/>
    <w:pPr>
      <w:pBdr/>
      <w:tabs>
        <w:tab w:val="center" w:leader="none" w:pos="4680"/>
        <w:tab w:val="right" w:leader="none" w:pos="9360"/>
      </w:tabs>
      <w:spacing/>
      <w:ind/>
    </w:pPr>
  </w:style>
  <w:style w:type="character" w:styleId="1056" w:customStyle="1">
    <w:name w:val="Footer Char"/>
    <w:link w:val="1055"/>
    <w:uiPriority w:val="99"/>
    <w:pPr>
      <w:pBdr/>
      <w:spacing/>
      <w:ind/>
    </w:pPr>
    <w:rPr>
      <w:rFonts w:ascii="Times New Roman" w:hAnsi="Times New Roman" w:eastAsia="Times New Roman" w:cs="Times New Roman"/>
      <w:sz w:val="20"/>
      <w:szCs w:val="20"/>
      <w:lang w:val="ro-RO"/>
    </w:rPr>
  </w:style>
  <w:style w:type="paragraph" w:styleId="1057">
    <w:name w:val="Balloon Text"/>
    <w:basedOn w:val="866"/>
    <w:link w:val="1058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1058" w:customStyle="1">
    <w:name w:val="Balloon Text Char"/>
    <w:link w:val="1057"/>
    <w:uiPriority w:val="99"/>
    <w:semiHidden/>
    <w:pPr>
      <w:pBdr/>
      <w:spacing/>
      <w:ind/>
    </w:pPr>
    <w:rPr>
      <w:rFonts w:ascii="Tahoma" w:hAnsi="Tahoma" w:eastAsia="Times New Roman" w:cs="Tahoma"/>
      <w:sz w:val="16"/>
      <w:szCs w:val="16"/>
      <w:lang w:val="ro-RO"/>
    </w:rPr>
  </w:style>
  <w:style w:type="paragraph" w:styleId="1059" w:customStyle="1">
    <w:name w:val="Default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spacing/>
      <w:ind/>
    </w:pPr>
    <w:rPr>
      <w:rFonts w:ascii="Arial" w:hAnsi="Arial" w:eastAsia="Times New Roman" w:cs="Arial"/>
      <w:color w:val="000000"/>
      <w:sz w:val="24"/>
      <w:szCs w:val="24"/>
    </w:rPr>
  </w:style>
  <w:style w:type="paragraph" w:styleId="1060">
    <w:name w:val="Document Map"/>
    <w:basedOn w:val="866"/>
    <w:link w:val="1061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1061" w:customStyle="1">
    <w:name w:val="Document Map Char"/>
    <w:basedOn w:val="876"/>
    <w:link w:val="1060"/>
    <w:uiPriority w:val="99"/>
    <w:semiHidden/>
    <w:pPr>
      <w:pBdr/>
      <w:spacing/>
      <w:ind/>
    </w:pPr>
    <w:rPr>
      <w:rFonts w:ascii="Tahoma" w:hAnsi="Tahoma" w:eastAsia="Times New Roman" w:cs="Tahoma"/>
      <w:sz w:val="16"/>
      <w:szCs w:val="16"/>
      <w:lang w:val="ro-RO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customXml" Target="../customXml/item1.xml" /><Relationship Id="rId16" Type="http://schemas.openxmlformats.org/officeDocument/2006/relationships/image" Target="media/image2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mailto:office@itb.ro" TargetMode="External"/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AA86DD60-01F6-4249-A16A-594D7E8C997C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Microsoft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revision>40</cp:revision>
  <dcterms:created xsi:type="dcterms:W3CDTF">2023-02-25T10:47:00Z</dcterms:created>
  <dcterms:modified xsi:type="dcterms:W3CDTF">2026-09-07T18:47:37Z</dcterms:modified>
</cp:coreProperties>
</file>