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1"/>
        <w:suppressLineNumbers w:val="false"/>
        <w:pBdr/>
        <w:spacing w:after="0" w:afterAutospacing="0" w:before="29" w:beforeAutospacing="0" w:line="172" w:lineRule="atLeast"/>
        <w:ind/>
        <w:jc w:val="center"/>
        <w:rPr>
          <w:rFonts w:ascii="Gentium" w:hAnsi="Gentium" w:cs="Gentium"/>
          <w:b/>
          <w:bCs/>
          <w:color w:val="222222"/>
          <w:sz w:val="32"/>
          <w:szCs w:val="32"/>
          <w:highlight w:val="none"/>
          <w:u w:val="single"/>
        </w:rPr>
      </w:pPr>
      <w:r>
        <w:rPr>
          <w:rFonts w:ascii="Gentium" w:hAnsi="Gentium" w:eastAsia="Gentium" w:cs="Gentium"/>
          <w:b/>
          <w:color w:val="222222"/>
          <w:sz w:val="32"/>
          <w:szCs w:val="32"/>
          <w:u w:val="single"/>
        </w:rPr>
        <w:t xml:space="preserve">CONFERINȚ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</w:rPr>
        <w:t xml:space="preserve">Ă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</w:rPr>
        <w:t xml:space="preserve"> 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  <w:lang w:val="ro-RO"/>
        </w:rPr>
        <w:t xml:space="preserve"> 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</w:rPr>
        <w:t xml:space="preserve">Asoc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  <w:lang w:val="ro-RO"/>
        </w:rPr>
        <w:t xml:space="preserve">iaţia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</w:rPr>
        <w:t xml:space="preserve"> </w:t>
      </w:r>
      <w:r>
        <w:rPr>
          <w:rFonts w:ascii="Gentium" w:hAnsi="Gentium" w:eastAsia="Gentium" w:cs="Gentium"/>
          <w:b/>
          <w:i/>
          <w:iCs/>
          <w:color w:val="222222"/>
          <w:sz w:val="32"/>
          <w:szCs w:val="32"/>
          <w:u w:val="single"/>
        </w:rPr>
        <w:t xml:space="preserve">International Needs</w:t>
      </w:r>
      <w:r>
        <w:rPr>
          <w:rFonts w:ascii="Gentium" w:hAnsi="Gentium" w:eastAsia="Gentium" w:cs="Gentium"/>
          <w:b/>
          <w:color w:val="222222"/>
          <w:sz w:val="32"/>
          <w:szCs w:val="32"/>
          <w:u w:val="single"/>
          <w:lang w:val="ro-RO"/>
        </w:rPr>
        <w:t xml:space="preserve">, 16-18 aprilie 2026</w:t>
      </w:r>
      <w:r>
        <w:rPr>
          <w:rFonts w:ascii="Gentium" w:hAnsi="Gentium" w:cs="Gentium"/>
          <w:b/>
          <w:bCs/>
          <w:color w:val="222222"/>
          <w:sz w:val="32"/>
          <w:szCs w:val="32"/>
          <w:highlight w:val="none"/>
          <w:u w:val="single"/>
        </w:rPr>
      </w:r>
      <w:r>
        <w:rPr>
          <w:rFonts w:ascii="Gentium" w:hAnsi="Gentium" w:cs="Gentium"/>
          <w:b/>
          <w:bCs/>
          <w:color w:val="222222"/>
          <w:sz w:val="32"/>
          <w:szCs w:val="32"/>
          <w:highlight w:val="none"/>
          <w:u w:val="single"/>
        </w:rPr>
      </w:r>
    </w:p>
    <w:p w14:paraId="49085395">
      <w:pPr>
        <w:pStyle w:val="831"/>
        <w:suppressLineNumbers w:val="false"/>
        <w:pBdr/>
        <w:spacing w:after="0" w:afterAutospacing="0" w:before="29" w:beforeAutospacing="0" w:line="172" w:lineRule="atLeast"/>
        <w:ind/>
        <w:jc w:val="center"/>
        <w:rPr>
          <w:rFonts w:ascii="Gentium" w:hAnsi="Gentium" w:cs="Gentium"/>
          <w:b/>
          <w:bCs/>
          <w:color w:val="222222"/>
          <w:sz w:val="32"/>
          <w:szCs w:val="32"/>
          <w:u w:val="single"/>
        </w:rPr>
      </w:pPr>
      <w:r>
        <w:rPr>
          <w:rFonts w:ascii="Gentium" w:hAnsi="Gentium" w:eastAsia="Gentium" w:cs="Gentium"/>
          <w:b/>
          <w:color w:val="222222"/>
          <w:sz w:val="32"/>
          <w:szCs w:val="32"/>
          <w:highlight w:val="none"/>
          <w:u w:val="single"/>
        </w:rPr>
      </w:r>
      <w:r>
        <w:rPr>
          <w:rFonts w:ascii="Gentium" w:hAnsi="Gentium" w:cs="Gentium"/>
          <w:b/>
          <w:bCs/>
          <w:color w:val="222222"/>
          <w:sz w:val="32"/>
          <w:szCs w:val="32"/>
          <w:u w:val="single"/>
        </w:rPr>
      </w:r>
      <w:r>
        <w:rPr>
          <w:rFonts w:ascii="Gentium" w:hAnsi="Gentium" w:cs="Gentium"/>
          <w:b/>
          <w:bCs/>
          <w:color w:val="222222"/>
          <w:sz w:val="32"/>
          <w:szCs w:val="32"/>
          <w:u w:val="single"/>
        </w:rPr>
      </w:r>
    </w:p>
    <w:p w14:paraId="2FC36B07">
      <w:pPr>
        <w:pStyle w:val="831"/>
        <w:keepNext w:val="true"/>
        <w:pBdr/>
        <w:shd w:val="clear" w:color="auto" w:fill="ffffff"/>
        <w:spacing w:after="0" w:before="29" w:line="172" w:lineRule="atLeast"/>
        <w:ind w:right="0" w:firstLine="0" w:left="0"/>
        <w:jc w:val="center"/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</w:pP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IA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  <w:t xml:space="preserve"> </w:t>
      </w: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și Pastorala: Revoluția Inteligenței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  <w:t xml:space="preserve"> </w:t>
      </w: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Artificiale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  <w:t xml:space="preserve"> </w:t>
      </w: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și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  <w:t xml:space="preserve"> </w:t>
      </w: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Revoluția Revelației, 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</w:r>
    </w:p>
    <w:p w14:paraId="592ACFA1">
      <w:pPr>
        <w:pStyle w:val="831"/>
        <w:keepNext w:val="true"/>
        <w:pBdr/>
        <w:shd w:val="clear" w:color="auto" w:fill="ffffff"/>
        <w:spacing w:after="0" w:before="29" w:line="172" w:lineRule="atLeast"/>
        <w:ind w:right="0" w:firstLine="0" w:left="0"/>
        <w:jc w:val="center"/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</w:pP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Formele și funcționalitatea IA și mesajul biblic din Luca 15,  1 Petru și 2 Petru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  <w:t xml:space="preserve"> </w:t>
      </w:r>
      <w:r>
        <w:rPr>
          <w:rFonts w:ascii="Gentium" w:hAnsi="Gentium" w:eastAsia="Gentium" w:cs="Gentium"/>
          <w:b/>
          <w:bCs/>
          <w:i/>
          <w:color w:val="222222"/>
          <w:sz w:val="32"/>
          <w:u w:val="single"/>
          <w:lang w:val="ro-RO"/>
        </w:rPr>
        <w:t xml:space="preserve">3</w:t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</w:r>
      <w:r>
        <w:rPr>
          <w:rFonts w:ascii="Gentium" w:hAnsi="Gentium" w:eastAsia="Gentium" w:cs="Gentium"/>
          <w:b/>
          <w:bCs/>
          <w:i/>
          <w:color w:val="222222"/>
          <w:u w:val="single"/>
          <w:lang w:val="ro-RO"/>
        </w:rPr>
      </w:r>
    </w:p>
    <w:p w14:paraId="3BAAEE9A">
      <w:pPr>
        <w:pStyle w:val="889"/>
        <w:suppressLineNumbers w:val="false"/>
        <w:pBdr/>
        <w:spacing w:after="0" w:afterAutospacing="0" w:before="29" w:beforeAutospacing="0" w:line="172" w:lineRule="atLeast"/>
        <w:ind/>
        <w:jc w:val="center"/>
        <w:rPr>
          <w:rFonts w:ascii="Gentium" w:hAnsi="Gentium" w:cs="Gentium"/>
          <w:b/>
          <w:bCs/>
          <w:color w:val="222222"/>
          <w:sz w:val="32"/>
          <w:szCs w:val="32"/>
          <w:highlight w:val="none"/>
          <w:u w:val="single"/>
        </w:rPr>
      </w:pPr>
      <w:r>
        <w:rPr>
          <w:rFonts w:eastAsia="Gentium" w:cs="Gentium"/>
          <w:b/>
          <w:bCs/>
          <w:i/>
          <w:color w:val="222222"/>
          <w:sz w:val="32"/>
          <w:szCs w:val="32"/>
          <w:u w:val="single"/>
          <w:lang w:val="ro-RO"/>
        </w:rPr>
        <w:t xml:space="preserve">Identitate, restaurare, slujire, mărturie eschatologică</w:t>
      </w:r>
      <w:r>
        <w:rPr>
          <w:rFonts w:ascii="Gentium" w:hAnsi="Gentium" w:cs="Gentium"/>
          <w:b/>
          <w:bCs/>
          <w:color w:val="222222"/>
          <w:sz w:val="32"/>
          <w:szCs w:val="32"/>
          <w:highlight w:val="none"/>
          <w:u w:val="single"/>
        </w:rPr>
      </w:r>
      <w:r>
        <w:rPr>
          <w:rFonts w:ascii="Gentium" w:hAnsi="Gentium" w:cs="Gentium"/>
          <w:b/>
          <w:bCs/>
          <w:color w:val="222222"/>
          <w:sz w:val="32"/>
          <w:szCs w:val="32"/>
          <w:highlight w:val="none"/>
          <w:u w:val="single"/>
        </w:rPr>
      </w:r>
    </w:p>
    <w:p w14:paraId="4024C2A3">
      <w:pPr>
        <w:pStyle w:val="831"/>
        <w:suppressLineNumbers w:val="false"/>
        <w:pBdr/>
        <w:spacing w:after="0" w:afterAutospacing="0" w:before="29" w:beforeAutospacing="0" w:line="172" w:lineRule="atLeast"/>
        <w:ind/>
        <w:jc w:val="center"/>
        <w:rPr>
          <w:rFonts w:ascii="Gentium" w:hAnsi="Gentium" w:cs="Gentium"/>
          <w:b/>
          <w:bCs/>
          <w:i/>
          <w:color w:val="222222"/>
          <w:sz w:val="32"/>
          <w:szCs w:val="32"/>
        </w:rPr>
      </w:pPr>
      <w:r>
        <w:rPr>
          <w:rFonts w:ascii="Gentium" w:hAnsi="Gentium" w:cs="Gentium"/>
          <w:b/>
          <w:bCs/>
          <w:i/>
          <w:color w:val="222222"/>
          <w:sz w:val="32"/>
          <w:szCs w:val="32"/>
        </w:rPr>
      </w:r>
      <w:r>
        <w:rPr>
          <w:rFonts w:ascii="Gentium" w:hAnsi="Gentium" w:cs="Gentium"/>
          <w:b/>
          <w:bCs/>
          <w:i/>
          <w:color w:val="222222"/>
          <w:sz w:val="32"/>
          <w:szCs w:val="32"/>
        </w:rPr>
      </w:r>
      <w:r>
        <w:rPr>
          <w:rFonts w:ascii="Gentium" w:hAnsi="Gentium" w:cs="Gentium"/>
          <w:b/>
          <w:bCs/>
          <w:i/>
          <w:color w:val="222222"/>
          <w:sz w:val="32"/>
          <w:szCs w:val="32"/>
        </w:rPr>
      </w:r>
    </w:p>
    <w:p w14:paraId="4566E431">
      <w:pPr>
        <w:pStyle w:val="831"/>
        <w:suppressLineNumbers w:val="false"/>
        <w:pBdr/>
        <w:spacing w:after="0" w:afterAutospacing="0" w:before="29" w:beforeAutospacing="0" w:line="172" w:lineRule="atLeast"/>
        <w:ind/>
        <w:jc w:val="center"/>
        <w:rPr>
          <w:rFonts w:ascii="Gentium" w:hAnsi="Gentium" w:cs="Gentium"/>
          <w:b/>
          <w:bCs/>
          <w:i/>
          <w:color w:val="222222"/>
          <w:sz w:val="32"/>
          <w:szCs w:val="32"/>
        </w:rPr>
      </w:pPr>
      <w:r>
        <w:rPr>
          <w:rFonts w:ascii="Gentium" w:hAnsi="Gentium" w:eastAsia="Gentium" w:cs="Gentium"/>
          <w:b/>
          <w:i/>
          <w:color w:val="222222"/>
          <w:sz w:val="32"/>
          <w:szCs w:val="32"/>
          <w:highlight w:val="none"/>
        </w:rPr>
      </w:r>
      <w:r>
        <w:rPr>
          <w:rFonts w:ascii="Gentium" w:hAnsi="Gentium" w:cs="Gentium"/>
          <w:b/>
          <w:bCs/>
          <w:i/>
          <w:color w:val="222222"/>
          <w:sz w:val="32"/>
          <w:szCs w:val="32"/>
        </w:rPr>
      </w:r>
      <w:r>
        <w:rPr>
          <w:rFonts w:ascii="Gentium" w:hAnsi="Gentium" w:cs="Gentium"/>
          <w:b/>
          <w:bCs/>
          <w:i/>
          <w:color w:val="222222"/>
          <w:sz w:val="32"/>
          <w:szCs w:val="32"/>
        </w:rPr>
      </w:r>
    </w:p>
    <w:p w14:paraId="11BB6B3E">
      <w:pPr>
        <w:pStyle w:val="832"/>
        <w:pBdr/>
        <w:spacing/>
        <w:ind/>
        <w:rPr>
          <w14:ligatures w14:val="none"/>
        </w:rPr>
      </w:pPr>
      <w:r>
        <w:rPr>
          <w:lang w:val="ro-RO"/>
        </w:rPr>
        <w:t xml:space="preserve">Vineri</w:t>
      </w:r>
      <w:r>
        <w:t xml:space="preserve">: 1</w:t>
      </w:r>
      <w:r>
        <w:rPr>
          <w:lang w:val="ro-RO"/>
        </w:rPr>
        <w:t xml:space="preserve">7</w:t>
      </w:r>
      <w:r>
        <w:t xml:space="preserve">.04.2026</w:t>
      </w:r>
      <w:r>
        <w:rPr>
          <w:lang w:val="ro-RO"/>
        </w:rPr>
        <w:t xml:space="preserve">, </w:t>
      </w:r>
      <w:r>
        <w:t xml:space="preserve">09.00-11.00</w:t>
      </w:r>
      <w:r>
        <w:rPr>
          <w:lang w:val="ro-RO"/>
        </w:rPr>
        <w:t xml:space="preserve"> </w:t>
      </w:r>
      <w:r>
        <w:t xml:space="preserve">Sesiunea 3</w:t>
      </w:r>
      <w:r>
        <w:rPr>
          <w:lang w:val="ro-RO"/>
        </w:rPr>
        <w:t xml:space="preserve">a</w:t>
      </w:r>
      <w:r>
        <w:t xml:space="preserve">– </w:t>
      </w:r>
      <w:r>
        <w:rPr>
          <w:lang w:val="ro-RO"/>
        </w:rPr>
        <w:t xml:space="preserve">IA și Pastorală; Exegeză, </w:t>
      </w:r>
      <w:r>
        <w:rPr>
          <w:lang w:val="ro-RO"/>
        </w:rPr>
        <w:t xml:space="preserve">comunicare și pastorală în</w:t>
      </w:r>
      <w:r>
        <w:rPr>
          <w:lang w:val="ro-RO"/>
        </w:rPr>
        <w:t xml:space="preserve"> Luca 15: parabolele pierdut-găsit, înțelegerea destinului uman și a îndurării lui Dumnezeu.</w:t>
      </w:r>
      <w:r/>
      <w:r/>
    </w:p>
    <w:p w14:paraId="23389611">
      <w:pPr>
        <w:pStyle w:val="832"/>
        <w:pBdr/>
        <w:spacing/>
        <w:ind/>
        <w:rPr>
          <w:rFonts w:ascii="Gentium" w:hAnsi="Gentium" w:cs="Gentium"/>
          <w:sz w:val="22"/>
          <w:szCs w:val="22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33818C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78E5C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57AEF515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Exemplul 1: Cum se aplică Bisericii parabolele pierdut-găsit din Luca 15.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 Folosește întreg contextul. 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7391A0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29EE94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062866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4A5FE3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5189E0AB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Deosebirea între exegeză și hermeneutică. 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5AC5D8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4C37EC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6E9E85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5B5D7A71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Contextul teologic general al teologiei evanghelistului Luca.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09D2FC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456325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6A3307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7AF3ADF6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Urmărește semnificația parabolelor, comunică înțelesul lor: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19DBE7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2E5102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1FBE5A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B6C7B30">
      <w:pPr>
        <w:pStyle w:val="834"/>
        <w:pBdr/>
        <w:spacing/>
        <w:ind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Style w:val="842"/>
          <w:rFonts w:ascii="Gentium" w:hAnsi="Gentium" w:eastAsia="Gentium" w:cs="Gentium"/>
          <w:b/>
          <w:bCs/>
          <w:color w:val="auto"/>
          <w:lang w:val="ro-RO"/>
        </w:rPr>
        <w:tab/>
        <w:t xml:space="preserve">A.Bucuria regăsirii și comunitatea</w:t>
      </w: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  <w:t xml:space="preserve">. </w:t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439DDD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684C7E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5C5F3F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718C80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2FB1BD23">
      <w:pPr>
        <w:pStyle w:val="834"/>
        <w:pBdr/>
        <w:spacing/>
        <w:ind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Style w:val="842"/>
          <w:rFonts w:ascii="Gentium" w:hAnsi="Gentium" w:eastAsia="Gentium" w:cs="Gentium"/>
          <w:b/>
          <w:bCs/>
          <w:color w:val="auto"/>
          <w:lang w:val="ro-RO"/>
        </w:rPr>
        <w:tab/>
        <w:t xml:space="preserve">B. Bucuria podoabei recuperate. </w:t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6B365B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0F753A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auto"/>
          <w:sz w:val="22"/>
          <w:szCs w:val="22"/>
          <w:highlight w:val="none"/>
        </w:rPr>
      </w:pPr>
      <w:r>
        <w:rPr>
          <w:rFonts w:ascii="Gentium" w:hAnsi="Gentium" w:eastAsia="Gentium" w:cs="Gentium"/>
          <w:color w:val="auto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  <w:r>
        <w:rPr>
          <w:rFonts w:ascii="Gentium" w:hAnsi="Gentium" w:eastAsia="Gentium" w:cs="Gentium"/>
          <w:color w:val="auto"/>
          <w:sz w:val="22"/>
          <w:szCs w:val="22"/>
          <w:highlight w:val="none"/>
        </w:rPr>
      </w:r>
    </w:p>
    <w:p w14:paraId="02C789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3E95C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6B3C9936">
      <w:pPr>
        <w:pStyle w:val="834"/>
        <w:pBdr/>
        <w:spacing/>
        <w:ind/>
        <w:rPr>
          <w:rFonts w:ascii="Gentium" w:hAnsi="Gentium" w:eastAsia="Gentium" w:cs="Gentium"/>
          <w:b/>
          <w:bCs/>
          <w:color w:val="222222"/>
          <w:sz w:val="22"/>
          <w:szCs w:val="22"/>
          <w:highlight w:val="none"/>
        </w:rPr>
      </w:pPr>
      <w:r>
        <w:rPr>
          <w:rFonts w:ascii="Gentium" w:hAnsi="Gentium" w:eastAsia="Gentium" w:cs="Gentium"/>
          <w:b/>
          <w:bCs/>
          <w:color w:val="222222"/>
          <w:sz w:val="22"/>
          <w:szCs w:val="22"/>
          <w:highlight w:val="none"/>
          <w:lang w:val="ro-RO"/>
        </w:rPr>
        <w:tab/>
        <w:t xml:space="preserve">C. Consiliere  integrală și restaurarea a familiei.</w:t>
      </w:r>
      <w:r>
        <w:rPr>
          <w:rFonts w:ascii="Gentium" w:hAnsi="Gentium" w:eastAsia="Gentium" w:cs="Gentium"/>
          <w:b/>
          <w:bCs/>
          <w:color w:val="222222"/>
          <w:sz w:val="22"/>
          <w:szCs w:val="22"/>
          <w:highlight w:val="none"/>
        </w:rPr>
      </w:r>
      <w:r>
        <w:rPr>
          <w:rFonts w:ascii="Gentium" w:hAnsi="Gentium" w:eastAsia="Gentium" w:cs="Gentium"/>
          <w:b/>
          <w:bCs/>
          <w:color w:val="222222"/>
          <w:sz w:val="22"/>
          <w:szCs w:val="22"/>
          <w:highlight w:val="none"/>
        </w:rPr>
      </w:r>
    </w:p>
    <w:p w14:paraId="44B3563E">
      <w:pPr>
        <w:pBdr/>
        <w:shd w:val="nil" w:color="auto"/>
        <w:tabs>
          <w:tab w:val="clear" w:leader="none" w:pos="1980"/>
        </w:tabs>
        <w:spacing/>
        <w:ind/>
        <w:rPr>
          <w:rFonts w:ascii="Gentium" w:hAnsi="Gentium" w:cs="Gentium"/>
          <w:sz w:val="22"/>
          <w:szCs w:val="22"/>
        </w:rPr>
      </w:pPr>
      <w:r>
        <w:rPr>
          <w:rFonts w:ascii="Gentium" w:hAnsi="Gentium" w:cs="Gentium"/>
          <w:sz w:val="22"/>
          <w:szCs w:val="22"/>
        </w:rPr>
        <w:br w:type="page" w:clear="all"/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2C19665D">
      <w:pPr>
        <w:pStyle w:val="832"/>
        <w:pBdr/>
        <w:spacing w:after="80" w:before="0"/>
        <w:ind/>
        <w:rPr>
          <w14:ligatures w14:val="none"/>
        </w:rPr>
      </w:pPr>
      <w:r>
        <w:rPr>
          <w:lang w:val="ro-RO"/>
        </w:rPr>
        <w:t xml:space="preserve">Vineri 17.04.2026, </w:t>
      </w:r>
      <w:r>
        <w:t xml:space="preserve">11.15-13.00</w:t>
      </w:r>
      <w:r>
        <w:rPr>
          <w:lang w:val="ro-RO"/>
        </w:rPr>
        <w:t xml:space="preserve"> </w:t>
      </w:r>
      <w:r>
        <w:t xml:space="preserve">Sesiunea 4</w:t>
      </w:r>
      <w:r>
        <w:t xml:space="preserve">– </w:t>
      </w:r>
      <w:r>
        <w:rPr>
          <w:lang w:val="ro-RO"/>
        </w:rPr>
        <w:t xml:space="preserve">IA și Pastorală; Exegeză, </w:t>
      </w:r>
      <w:r>
        <w:rPr>
          <w:lang w:val="ro-RO"/>
        </w:rPr>
        <w:t xml:space="preserve">comunicare și pastorala în</w:t>
      </w:r>
      <w:r>
        <w:rPr>
          <w:lang w:val="ro-RO"/>
        </w:rPr>
        <w:t xml:space="preserve"> 1 Petru 2: Cine suntem noi? Identitate, Apartenență și slujire în societate</w:t>
      </w:r>
      <w:r/>
      <w:r/>
    </w:p>
    <w:p w14:paraId="40B0FD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4"/>
          <w:szCs w:val="24"/>
          <w:highlight w:val="none"/>
        </w:rPr>
      </w:pPr>
      <w:r>
        <w:rPr>
          <w:rFonts w:ascii="Gentium" w:hAnsi="Gentium" w:eastAsia="Gentium" w:cs="Gentium"/>
          <w:color w:val="222222"/>
          <w:sz w:val="24"/>
          <w:szCs w:val="24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4"/>
          <w:szCs w:val="24"/>
          <w:highlight w:val="none"/>
        </w:rPr>
      </w:r>
      <w:r>
        <w:rPr>
          <w:rFonts w:ascii="Gentium" w:hAnsi="Gentium" w:eastAsia="Gentium" w:cs="Gentium"/>
          <w:color w:val="222222"/>
          <w:sz w:val="24"/>
          <w:szCs w:val="24"/>
          <w:highlight w:val="none"/>
        </w:rPr>
      </w:r>
    </w:p>
    <w:p w14:paraId="0192F5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lang w:val="ro-RO"/>
        </w:rPr>
        <w:t xml:space="preserve">Identitatea creștinului și contribuția lui în societate, seminar). Contextul teologie lui Petru în epistola 1 Petru.  Identitatea creștinului în contextul persecuției, al suferinței, al nădejdii venirii Domnului.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01D13D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cs="Gentium"/>
          <w:sz w:val="22"/>
          <w:szCs w:val="22"/>
        </w:rPr>
      </w:pP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2A2AB9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cs="Gentium"/>
          <w:sz w:val="22"/>
          <w:szCs w:val="22"/>
        </w:rPr>
      </w:pP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0303F8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cs="Gentium"/>
          <w:sz w:val="22"/>
          <w:szCs w:val="22"/>
        </w:rPr>
      </w:pP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16DFE9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cs="Gentium"/>
          <w:sz w:val="22"/>
          <w:szCs w:val="22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58D58B9A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Exemplul 2: Masonerie și modele economice și sociale în dezvoltarea lumii, 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21AE02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980"/>
        </w:tabs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4D1C63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C4427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1CE44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22225D16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t xml:space="preserve">Mijlocire preoțească și relevanță prin Evanghelie, 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1A5B6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1BC3C2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05BEEF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6AD92E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72F4ECA4">
      <w:pPr>
        <w:pStyle w:val="833"/>
        <w:pBdr/>
        <w:spacing/>
        <w:ind w:left="709"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Style w:val="842"/>
          <w:rFonts w:ascii="Gentium" w:hAnsi="Gentium" w:eastAsia="Gentium" w:cs="Gentium"/>
          <w:lang w:val="ro-RO"/>
        </w:rPr>
        <w:t xml:space="preserve">Forța mărturiei creștine bune în mijlocul nedreptățirilor.</w:t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D586999">
      <w:pPr>
        <w:pStyle w:val="833"/>
        <w:pBdr/>
        <w:spacing/>
        <w:ind w:left="709"/>
        <w:rPr>
          <w:rFonts w:ascii="Gentium" w:hAnsi="Gentium" w:cs="Gentium"/>
          <w:sz w:val="22"/>
          <w:szCs w:val="22"/>
        </w:rPr>
      </w:pP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24B9DF57">
      <w:pPr>
        <w:pStyle w:val="833"/>
        <w:pBdr/>
        <w:spacing/>
        <w:ind/>
        <w:rPr>
          <w:rFonts w:ascii="Gentium" w:hAnsi="Gentium" w:cs="Gentium"/>
          <w:sz w:val="22"/>
          <w:szCs w:val="22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cs="Gentium"/>
          <w:sz w:val="22"/>
          <w:szCs w:val="22"/>
        </w:rPr>
      </w:r>
      <w:r>
        <w:rPr>
          <w:rFonts w:ascii="Gentium" w:hAnsi="Gentium" w:cs="Gentium"/>
          <w:sz w:val="22"/>
          <w:szCs w:val="22"/>
        </w:rPr>
      </w:r>
    </w:p>
    <w:p w14:paraId="2B03C2DE">
      <w:pPr>
        <w:pStyle w:val="833"/>
        <w:pBdr/>
        <w:spacing/>
        <w:ind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3CE23F7A">
      <w:pPr>
        <w:pBdr/>
        <w:shd w:val="nil" w:color="auto"/>
        <w:tabs>
          <w:tab w:val="clear" w:leader="none" w:pos="1980"/>
        </w:tabs>
        <w:spacing/>
        <w:ind/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  <w:br w:type="page" w:clear="all"/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color w:val="222222"/>
          <w:sz w:val="22"/>
          <w:szCs w:val="22"/>
          <w:highlight w:val="none"/>
          <w:lang w:val="ro-RO"/>
        </w:rPr>
      </w:r>
    </w:p>
    <w:p w14:paraId="69DD8CA8">
      <w:pPr>
        <w:pStyle w:val="832"/>
        <w:pBdr/>
        <w:spacing/>
        <w:ind/>
        <w:rPr>
          <w:highlight w:val="none"/>
          <w:lang w:val="ro-RO"/>
          <w14:ligatures w14:val="none"/>
        </w:rPr>
      </w:pPr>
      <w:r>
        <w:rPr>
          <w:lang w:val="ro-RO"/>
        </w:rPr>
        <w:t xml:space="preserve">Vineri 17.04.2026, </w:t>
      </w:r>
      <w:r>
        <w:t xml:space="preserve">17.00-19.00</w:t>
      </w:r>
      <w:r>
        <w:rPr>
          <w:lang w:val="ro-RO"/>
        </w:rPr>
        <w:t xml:space="preserve"> </w:t>
      </w:r>
      <w:r>
        <w:t xml:space="preserve">Sesiunea 5</w:t>
      </w:r>
      <w:r>
        <w:t xml:space="preserve">– </w:t>
      </w:r>
      <w:r>
        <w:rPr>
          <w:lang w:val="ro-RO"/>
        </w:rPr>
        <w:t xml:space="preserve">IA și Pastorală; Exegeză, </w:t>
      </w:r>
      <w:r>
        <w:rPr>
          <w:lang w:val="ro-RO"/>
        </w:rPr>
        <w:t xml:space="preserve">comunicare și pastorală în </w:t>
      </w:r>
      <w:r>
        <w:rPr>
          <w:lang w:val="ro-RO"/>
        </w:rPr>
        <w:t xml:space="preserve">2 Petru 3: Cum să aștept revenirea Domnului Hristos, seminar). Așteptarea și mărturisirea venirii Domnului în mijlocul presiunilor necredinței.</w:t>
      </w:r>
      <w:r>
        <w:rPr>
          <w:highlight w:val="none"/>
          <w:lang w:val="ro-RO"/>
        </w:rPr>
      </w:r>
      <w:r>
        <w:rPr>
          <w:highlight w:val="none"/>
          <w:lang w:val="ro-RO"/>
        </w:rPr>
      </w:r>
    </w:p>
    <w:p w14:paraId="666DB0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color w:val="000000" w:themeColor="text1"/>
          <w:sz w:val="24"/>
          <w:szCs w:val="24"/>
        </w:rPr>
      </w:pPr>
      <w:r>
        <w:rPr>
          <w:rFonts w:ascii="Gentium" w:hAnsi="Gentium" w:eastAsia="Gentium" w:cs="Gentium"/>
          <w:color w:val="000000" w:themeColor="text1"/>
          <w:sz w:val="24"/>
          <w:szCs w:val="24"/>
          <w:highlight w:val="none"/>
          <w:lang w:val="ro-RO" w:bidi="ro-RO"/>
        </w:rPr>
      </w:r>
      <w:r>
        <w:rPr>
          <w:rFonts w:ascii="Gentium" w:hAnsi="Gentium" w:eastAsia="Gentium" w:cs="Gentium"/>
          <w:color w:val="000000" w:themeColor="text1"/>
          <w:sz w:val="24"/>
          <w:szCs w:val="24"/>
        </w:rPr>
      </w:r>
      <w:r>
        <w:rPr>
          <w:rFonts w:ascii="Gentium" w:hAnsi="Gentium" w:eastAsia="Gentium" w:cs="Gentium"/>
          <w:color w:val="000000" w:themeColor="text1"/>
          <w:sz w:val="24"/>
          <w:szCs w:val="24"/>
        </w:rPr>
      </w:r>
    </w:p>
    <w:p w14:paraId="131F90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  <w:t xml:space="preserve">O trecere </w:t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  <w:t xml:space="preserve">în revistă a teologiei lui Petru în 2 Petru: scara caracterului, revelația, obrăznicia răzvrătirii și a necredinței, structura judecăților Domnului în istorie, așteptarea Împărăției lui Dumnezeu, profilul sfârșitului apocaliptic și al reînceputului lumii. </w:t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04C9CC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cs="Gentium"/>
        </w:rPr>
      </w:pPr>
      <w:r>
        <w:rPr>
          <w:rFonts w:ascii="Gentium" w:hAnsi="Gentium" w:cs="Gentium"/>
        </w:rPr>
      </w:r>
      <w:r>
        <w:rPr>
          <w:rFonts w:ascii="Gentium" w:hAnsi="Gentium" w:cs="Gentium"/>
        </w:rPr>
      </w:r>
      <w:r>
        <w:rPr>
          <w:rFonts w:ascii="Gentium" w:hAnsi="Gentium" w:cs="Gentium"/>
        </w:rPr>
      </w:r>
    </w:p>
    <w:p w14:paraId="42C350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69692B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0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37DD602D">
      <w:pPr>
        <w:pStyle w:val="833"/>
        <w:pBdr/>
        <w:spacing/>
        <w:ind w:left="709"/>
        <w:rPr>
          <w14:ligatures w14:val="none"/>
        </w:rPr>
      </w:pPr>
      <w:r>
        <w:rPr>
          <w:lang w:val="ro-RO"/>
        </w:rPr>
        <w:t xml:space="preserve">Exemplul 4: Contextul contemporan și confruntarea concepțiilor finalurilor apocaliptice. </w:t>
      </w:r>
      <w:r>
        <w:rPr>
          <w14:ligatures w14:val="none"/>
        </w:rPr>
      </w:r>
      <w:r>
        <w:rPr>
          <w14:ligatures w14:val="none"/>
        </w:rPr>
      </w:r>
    </w:p>
    <w:p w14:paraId="5F6DB5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5A2F30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47C327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15CE5D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47BDBAAD">
      <w:pPr>
        <w:pStyle w:val="833"/>
        <w:pBdr/>
        <w:spacing/>
        <w:ind w:left="709"/>
        <w:rPr>
          <w:rFonts w:ascii="Gentium" w:hAnsi="Gentium" w:eastAsia="Gentium" w:cs="Gentium"/>
          <w:sz w:val="22"/>
          <w:szCs w:val="22"/>
          <w:lang w:val="ro-RO"/>
        </w:rPr>
      </w:pPr>
      <w:r>
        <w:rPr>
          <w:rFonts w:ascii="Gentium" w:hAnsi="Gentium" w:eastAsia="Gentium" w:cs="Gentium"/>
          <w:sz w:val="22"/>
          <w:szCs w:val="22"/>
          <w:lang w:val="ro-RO"/>
        </w:rPr>
        <w:t xml:space="preserve">A</w:t>
      </w:r>
      <w:r>
        <w:rPr>
          <w:rStyle w:val="842"/>
          <w:rFonts w:ascii="Gentium" w:hAnsi="Gentium" w:eastAsia="Gentium" w:cs="Gentium"/>
          <w:lang w:val="ro-RO"/>
        </w:rPr>
        <w:t xml:space="preserve">șteptarea Împărăției lui Dumnezeu. </w:t>
      </w:r>
      <w:r>
        <w:rPr>
          <w:rFonts w:ascii="Gentium" w:hAnsi="Gentium" w:eastAsia="Gentium" w:cs="Gentium"/>
          <w:sz w:val="22"/>
          <w:szCs w:val="22"/>
          <w:lang w:val="ro-RO"/>
        </w:rPr>
      </w:r>
      <w:r>
        <w:rPr>
          <w:rFonts w:ascii="Gentium" w:hAnsi="Gentium" w:eastAsia="Gentium" w:cs="Gentium"/>
          <w:sz w:val="22"/>
          <w:szCs w:val="22"/>
          <w:lang w:val="ro-RO"/>
        </w:rPr>
      </w:r>
    </w:p>
    <w:p w14:paraId="400242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2B8876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jc w:val="center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29602C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004C08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5E4240A9">
      <w:pPr>
        <w:pStyle w:val="832"/>
        <w:pBdr/>
        <w:spacing/>
        <w:ind/>
        <w:rPr>
          <w:highlight w:val="none"/>
          <w:lang w:val="ro-RO"/>
          <w14:ligatures w14:val="none"/>
        </w:rPr>
      </w:pPr>
      <w:r>
        <w:rPr>
          <w:highlight w:val="none"/>
          <w:lang w:val="ro-RO"/>
        </w:rPr>
        <w:t xml:space="preserve">Concluzii generale</w:t>
      </w:r>
      <w:r>
        <w:rPr>
          <w:highlight w:val="none"/>
          <w:lang w:val="ro-RO"/>
        </w:rPr>
      </w:r>
      <w:r>
        <w:rPr>
          <w:highlight w:val="none"/>
          <w:lang w:val="ro-RO"/>
        </w:rPr>
      </w:r>
    </w:p>
    <w:p w14:paraId="1A6658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498702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Style w:val="842"/>
          <w:rFonts w:ascii="Gentium" w:hAnsi="Gentium" w:eastAsia="Gentium" w:cs="Gentium"/>
          <w:i/>
          <w:iCs/>
          <w:lang w:val="ro-RO"/>
        </w:rPr>
        <w:t xml:space="preserve">Chat GPT și folosirea resurselor biblice</w:t>
      </w:r>
      <w:r>
        <w:rPr>
          <w:rFonts w:ascii="Gentium" w:hAnsi="Gentium" w:eastAsia="Gentium" w:cs="Gentium"/>
          <w:sz w:val="22"/>
          <w:szCs w:val="22"/>
          <w:lang w:val="ro-RO"/>
        </w:rPr>
        <w:t xml:space="preserve">. </w:t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66956A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30E3BC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  <w:t xml:space="preserve">Informare incompletă. Informare „inventivă” (adică falsă). Informare trans-disciplinară.</w:t>
      </w: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r>
    </w:p>
    <w:p w14:paraId="031250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  <w:t xml:space="preserve">Informare super-ecumenică, posibil necreștină.</w:t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p w14:paraId="5A7BBC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  <w:t xml:space="preserve">Vocabular prea general. Structură bună. </w:t>
      </w: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</w:r>
    </w:p>
    <w:p w14:paraId="00D527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firstLine="0" w:left="709"/>
        <w:rPr>
          <w:rFonts w:ascii="Gentium" w:hAnsi="Gentium" w:eastAsia="Gentium" w:cs="Gentium"/>
          <w:sz w:val="22"/>
          <w:szCs w:val="22"/>
          <w:highlight w:val="none"/>
          <w:lang w:val="ro-RO"/>
        </w:rPr>
      </w:pPr>
      <w:r>
        <w:rPr>
          <w:rFonts w:ascii="Gentium" w:hAnsi="Gentium" w:eastAsia="Gentium" w:cs="Gentium"/>
          <w:sz w:val="22"/>
          <w:szCs w:val="22"/>
          <w:highlight w:val="none"/>
          <w:lang w:val="ro-RO" w:bidi="ro-RO"/>
        </w:rPr>
        <w:t xml:space="preserve">Posibilități de dezvoltare în studii sau programe ramificate, mai complexe.</w:t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  <w:r>
        <w:rPr>
          <w:rFonts w:ascii="Gentium" w:hAnsi="Gentium" w:eastAsia="Gentium" w:cs="Gentium"/>
          <w:sz w:val="22"/>
          <w:szCs w:val="22"/>
          <w:highlight w:val="none"/>
          <w:lang w:val="ro-RO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ntium">
    <w:panose1 w:val="020005030600000200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800F2"/>
    <w:lvl w:ilvl="0">
      <w:isLgl w:val="false"/>
      <w:lvlJc w:val="left"/>
      <w:lvlText w:val="%1."/>
      <w:numFmt w:val="upperLetter"/>
      <w:pPr>
        <w:pBdr/>
        <w:spacing/>
        <w:ind w:hanging="360" w:left="2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table" w:styleId="704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89"/>
    <w:next w:val="889"/>
    <w:link w:val="841"/>
    <w:uiPriority w:val="9"/>
    <w:unhideWhenUsed/>
    <w:qFormat/>
    <w:pPr>
      <w:keepNext w:val="true"/>
      <w:keepLines w:val="true"/>
      <w:suppressLineNumbers w:val="false"/>
      <w:pBdr/>
      <w:spacing w:after="80" w:before="160"/>
      <w:ind/>
      <w:outlineLvl w:val="2"/>
    </w:pPr>
    <w:rPr>
      <w:rFonts w:ascii="Gentium" w:hAnsi="Gentium" w:eastAsia="Gentium" w:cs="Gentium"/>
      <w:b/>
      <w:bCs/>
      <w:color w:val="0f4761" w:themeColor="accent1" w:themeShade="BF"/>
      <w:sz w:val="28"/>
      <w:szCs w:val="28"/>
      <w:lang w:val="en-GB"/>
    </w:rPr>
  </w:style>
  <w:style w:type="paragraph" w:styleId="833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Gentium" w:hAnsi="Gentium" w:eastAsia="Gentium" w:cs="Gentium"/>
      <w:b/>
      <w:bCs/>
      <w:i/>
      <w:iCs/>
      <w:color w:val="auto"/>
      <w:sz w:val="22"/>
      <w:szCs w:val="22"/>
      <w:lang w:val="ro-RO"/>
    </w:rPr>
  </w:style>
  <w:style w:type="paragraph" w:styleId="834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b/>
      <w:bCs/>
      <w:i/>
      <w:iCs/>
      <w:color w:val="0f4761" w:themeColor="accent1" w:themeShade="BF"/>
      <w:sz w:val="22"/>
      <w:szCs w:val="22"/>
    </w:rPr>
  </w:style>
  <w:style w:type="paragraph" w:styleId="835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1 Char"/>
    <w:basedOn w:val="890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9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90"/>
    <w:link w:val="832"/>
    <w:uiPriority w:val="9"/>
    <w:pPr>
      <w:pBdr/>
      <w:spacing/>
      <w:ind/>
    </w:pPr>
    <w:rPr>
      <w:rFonts w:ascii="Gentium" w:hAnsi="Gentium" w:eastAsia="Gentium" w:cs="Gentium"/>
      <w:b/>
      <w:bCs/>
      <w:color w:val="0f4761" w:themeColor="accent1" w:themeShade="BF"/>
      <w:sz w:val="28"/>
      <w:szCs w:val="28"/>
      <w:lang w:val="en-GB"/>
    </w:rPr>
  </w:style>
  <w:style w:type="character" w:styleId="842">
    <w:name w:val="Heading 4 Char"/>
    <w:link w:val="833"/>
    <w:uiPriority w:val="9"/>
    <w:pPr>
      <w:pBdr/>
      <w:spacing/>
      <w:ind/>
    </w:pPr>
    <w:rPr>
      <w:rFonts w:ascii="Gentium" w:hAnsi="Gentium" w:eastAsia="Gentium" w:cs="Gentium"/>
      <w:b/>
      <w:bCs/>
      <w:color w:val="auto"/>
      <w:sz w:val="22"/>
      <w:szCs w:val="22"/>
      <w:lang w:val="ro-RO"/>
    </w:rPr>
  </w:style>
  <w:style w:type="character" w:styleId="843">
    <w:name w:val="Heading 5 Char"/>
    <w:link w:val="834"/>
    <w:uiPriority w:val="9"/>
    <w:pPr>
      <w:pBdr/>
      <w:spacing/>
      <w:ind/>
    </w:pPr>
    <w:rPr>
      <w:b/>
      <w:bCs/>
      <w:i/>
      <w:iCs/>
      <w:sz w:val="22"/>
      <w:szCs w:val="22"/>
    </w:rPr>
  </w:style>
  <w:style w:type="character" w:styleId="844">
    <w:name w:val="Heading 6 Char"/>
    <w:basedOn w:val="890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90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90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9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9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9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0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0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9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9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80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1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2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3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4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5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6">
    <w:name w:val="toc 9"/>
    <w:basedOn w:val="889"/>
    <w:next w:val="889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suppressLineNumbers w:val="false"/>
      <w:pBdr/>
      <w:shd w:val="clear" w:color="auto" w:fill="ffffff"/>
      <w:tabs>
        <w:tab w:val="left" w:leader="none" w:pos="1980"/>
      </w:tabs>
      <w:spacing w:after="0" w:line="240" w:lineRule="auto"/>
      <w:ind/>
      <w:contextualSpacing w:val="false"/>
      <w:jc w:val="left"/>
    </w:pPr>
    <w:rPr>
      <w:rFonts w:ascii="Gentium" w:hAnsi="Gentium" w:eastAsia="Gentium" w:cs="Gentium"/>
      <w:sz w:val="24"/>
      <w:szCs w:val="24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Toshiba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</dc:creator>
  <cp:revision>16</cp:revision>
  <dcterms:created xsi:type="dcterms:W3CDTF">2025-03-06T14:23:00Z</dcterms:created>
  <dcterms:modified xsi:type="dcterms:W3CDTF">2026-04-16T02:51:34Z</dcterms:modified>
</cp:coreProperties>
</file>